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11C33653" w14:textId="7268D5AF" w:rsidR="00817DFA" w:rsidRPr="00577324" w:rsidRDefault="00817DFA" w:rsidP="00817DFA">
      <w:pPr>
        <w:spacing w:after="240" w:line="360" w:lineRule="auto"/>
        <w:outlineLvl w:val="0"/>
        <w:rPr>
          <w:rFonts w:ascii="Arial" w:hAnsi="Arial" w:cs="Arial"/>
        </w:rPr>
      </w:pPr>
      <w:r w:rsidRPr="008A0001">
        <w:rPr>
          <w:rFonts w:cstheme="minorHAnsi"/>
          <w:b/>
          <w:color w:val="000000"/>
          <w:sz w:val="28"/>
          <w:szCs w:val="28"/>
        </w:rPr>
        <w:t xml:space="preserve">Válvulas de controlo de duas vias - </w:t>
      </w:r>
      <w:proofErr w:type="spellStart"/>
      <w:r w:rsidRPr="008A0001">
        <w:rPr>
          <w:rFonts w:cstheme="minorHAnsi"/>
          <w:b/>
          <w:color w:val="000000"/>
          <w:sz w:val="28"/>
          <w:szCs w:val="28"/>
        </w:rPr>
        <w:t>Modulante</w:t>
      </w:r>
      <w:proofErr w:type="spellEnd"/>
    </w:p>
    <w:p w14:paraId="0907BC03" w14:textId="7F97CA3B" w:rsidR="00817DFA" w:rsidRPr="008A0001" w:rsidRDefault="00817DFA" w:rsidP="00817DFA">
      <w:pPr>
        <w:tabs>
          <w:tab w:val="left" w:pos="9540"/>
        </w:tabs>
        <w:spacing w:line="240" w:lineRule="exact"/>
        <w:rPr>
          <w:rFonts w:cstheme="minorHAnsi"/>
          <w:b/>
          <w:sz w:val="24"/>
          <w:szCs w:val="24"/>
        </w:rPr>
      </w:pPr>
      <w:r w:rsidRPr="008A0001">
        <w:rPr>
          <w:rFonts w:cstheme="minorHAnsi"/>
          <w:b/>
          <w:sz w:val="24"/>
          <w:szCs w:val="24"/>
        </w:rPr>
        <w:t>Descrição</w:t>
      </w:r>
    </w:p>
    <w:p w14:paraId="08C478DD" w14:textId="0CD61EA9" w:rsidR="00817DFA" w:rsidRPr="008A0001" w:rsidRDefault="00817DFA" w:rsidP="00817DFA">
      <w:pPr>
        <w:spacing w:after="120" w:line="24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Válvulas de controlo de 2 vias que irão permitir a regulação dos caudais de água (de 0 a 100% do caudal nominal) em resposta a um sinal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(0-10 VCC), nos circuitos hidráulicos dos permutadores de calor água/ar (ex. UTA(N)’s).</w:t>
      </w:r>
    </w:p>
    <w:p w14:paraId="745D6B7B" w14:textId="0360F573" w:rsidR="00817DFA" w:rsidRPr="008A0001" w:rsidRDefault="00817DFA" w:rsidP="00817DFA">
      <w:pPr>
        <w:spacing w:after="120" w:line="24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Dada a </w:t>
      </w:r>
      <w:proofErr w:type="gramStart"/>
      <w:r w:rsidRPr="008A0001">
        <w:rPr>
          <w:rFonts w:cstheme="minorHAnsi"/>
          <w:color w:val="595959" w:themeColor="text1" w:themeTint="A6"/>
          <w:sz w:val="18"/>
          <w:szCs w:val="18"/>
        </w:rPr>
        <w:t>elevada ”responsabilidade</w:t>
      </w:r>
      <w:proofErr w:type="gramEnd"/>
      <w:r w:rsidRPr="008A0001">
        <w:rPr>
          <w:rFonts w:cstheme="minorHAnsi"/>
          <w:color w:val="595959" w:themeColor="text1" w:themeTint="A6"/>
          <w:sz w:val="18"/>
          <w:szCs w:val="18"/>
        </w:rPr>
        <w:t>” que este órgão representa no controlo da temperatura (e humidade relativa) e por conseguinte no equilíbrio térmico entre a UTA(N) e o espaço que serve exigem-se quatro características fundamentais:</w:t>
      </w:r>
    </w:p>
    <w:p w14:paraId="3EF14C8A" w14:textId="3231C28F" w:rsidR="00817DFA" w:rsidRPr="008A0001" w:rsidRDefault="00817DFA" w:rsidP="00817DFA">
      <w:pPr>
        <w:numPr>
          <w:ilvl w:val="0"/>
          <w:numId w:val="10"/>
        </w:numPr>
        <w:tabs>
          <w:tab w:val="left" w:pos="284"/>
        </w:tabs>
        <w:spacing w:after="120" w:line="240" w:lineRule="exact"/>
        <w:ind w:left="0" w:firstLine="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Serem produzidas por fabricante de reconhecida qualidade e que assegure um mínimo de 3 anos de garantia.</w:t>
      </w:r>
    </w:p>
    <w:p w14:paraId="4A12118A" w14:textId="75F0B6B3" w:rsidR="00817DFA" w:rsidRPr="008A0001" w:rsidRDefault="00817DFA" w:rsidP="00817DFA">
      <w:pPr>
        <w:numPr>
          <w:ilvl w:val="0"/>
          <w:numId w:val="10"/>
        </w:numPr>
        <w:tabs>
          <w:tab w:val="left" w:pos="284"/>
        </w:tabs>
        <w:spacing w:after="120" w:line="240" w:lineRule="exact"/>
        <w:ind w:left="0" w:firstLine="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Terem características (caudal versus abertura) de igual percentagem (Iso percentual).</w:t>
      </w:r>
    </w:p>
    <w:p w14:paraId="3237B8F2" w14:textId="341BF3D3" w:rsidR="00817DFA" w:rsidRPr="008A0001" w:rsidRDefault="00817DFA" w:rsidP="00805F9D">
      <w:pPr>
        <w:numPr>
          <w:ilvl w:val="0"/>
          <w:numId w:val="10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O conjunto válvula-atuador deverá ser o recomendado pelo fabricante por forma a garantir, não só as performances expectáveis inerentes à característica da válvula como também o fecho integral da mesma considerando a pressão diferencial máxima que se espera vir a ocorrer no circuito em questão.</w:t>
      </w:r>
    </w:p>
    <w:p w14:paraId="1EBEDF47" w14:textId="6801078E" w:rsidR="00817DFA" w:rsidRPr="008A0001" w:rsidRDefault="00817DFA" w:rsidP="00817DFA">
      <w:pPr>
        <w:numPr>
          <w:ilvl w:val="0"/>
          <w:numId w:val="10"/>
        </w:numPr>
        <w:tabs>
          <w:tab w:val="left" w:pos="284"/>
        </w:tabs>
        <w:spacing w:after="120" w:line="240" w:lineRule="exact"/>
        <w:ind w:left="0" w:firstLine="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O seu dimensionamento deverá obedecer às recomendações abaixo descritas.</w:t>
      </w:r>
    </w:p>
    <w:p w14:paraId="5AADE735" w14:textId="5F3EEF29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5C8BD38A" w14:textId="14AB09AA" w:rsidR="00817DFA" w:rsidRPr="008A0001" w:rsidRDefault="00817DFA" w:rsidP="00BD2C51">
      <w:pPr>
        <w:tabs>
          <w:tab w:val="left" w:pos="9540"/>
        </w:tabs>
        <w:spacing w:line="240" w:lineRule="exact"/>
        <w:rPr>
          <w:rFonts w:cstheme="minorHAnsi"/>
          <w:b/>
        </w:rPr>
      </w:pPr>
      <w:r w:rsidRPr="008A0001">
        <w:rPr>
          <w:rFonts w:cstheme="minorHAnsi"/>
          <w:b/>
          <w:sz w:val="24"/>
          <w:szCs w:val="24"/>
        </w:rPr>
        <w:t>Características técnicas principais</w:t>
      </w:r>
    </w:p>
    <w:p w14:paraId="7B3F3590" w14:textId="61D99174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Pressão nominal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PN16 (ou superior)</w:t>
      </w:r>
    </w:p>
    <w:p w14:paraId="42F6CCC0" w14:textId="1E50068E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Ligações DN15 a DN50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roscadas BSP (DIN 259, ISO 228/1, BS 2779)  </w:t>
      </w:r>
    </w:p>
    <w:p w14:paraId="1119A9E9" w14:textId="5FA690BF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Ligações DN65 a DN150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flangeadas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PN16, de acordo com EN 1092/1  </w:t>
      </w:r>
    </w:p>
    <w:p w14:paraId="2098000D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gramStart"/>
      <w:r w:rsidRPr="008A0001">
        <w:rPr>
          <w:rFonts w:cstheme="minorHAnsi"/>
          <w:color w:val="595959" w:themeColor="text1" w:themeTint="A6"/>
          <w:sz w:val="18"/>
          <w:szCs w:val="18"/>
        </w:rPr>
        <w:t>Fluido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água</w:t>
      </w:r>
      <w:proofErr w:type="gram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quente ou fria,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glycol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>. 50%, qualidade seg. VDI 2035</w:t>
      </w:r>
    </w:p>
    <w:p w14:paraId="0246B33D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Gama de temperatura do fluido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2 a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120ºC</w:t>
      </w:r>
      <w:proofErr w:type="spellEnd"/>
    </w:p>
    <w:p w14:paraId="6D56EDB2" w14:textId="79BABFBF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Característica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igual percentagem</w:t>
      </w:r>
    </w:p>
    <w:p w14:paraId="3AE9AAE5" w14:textId="7310BF52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Fuga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0,015 de KVS (segundo EN 60534-4: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Class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IV)</w:t>
      </w:r>
    </w:p>
    <w:p w14:paraId="314DECE2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Pressão diferencial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>. (</w:t>
      </w:r>
      <w:proofErr w:type="spellStart"/>
      <w:r>
        <w:rPr>
          <w:rFonts w:cstheme="minorHAnsi"/>
          <w:color w:val="595959" w:themeColor="text1" w:themeTint="A6"/>
          <w:sz w:val="18"/>
          <w:szCs w:val="18"/>
        </w:rPr>
        <w:t>Δ</w:t>
      </w:r>
      <w:r w:rsidRPr="008A0001">
        <w:rPr>
          <w:rFonts w:cstheme="minorHAnsi"/>
          <w:color w:val="595959" w:themeColor="text1" w:themeTint="A6"/>
          <w:sz w:val="18"/>
          <w:szCs w:val="18"/>
        </w:rPr>
        <w:t>Pmáx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.)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superior ou igual a 350 kPa</w:t>
      </w:r>
    </w:p>
    <w:p w14:paraId="15855DD7" w14:textId="02AF55EF" w:rsidR="00817DFA" w:rsidRDefault="00817DFA" w:rsidP="00817DFA">
      <w:pPr>
        <w:spacing w:after="120" w:line="240" w:lineRule="exact"/>
        <w:jc w:val="both"/>
        <w:rPr>
          <w:rFonts w:ascii="Arial" w:hAnsi="Arial" w:cs="Arial"/>
          <w:b/>
        </w:rPr>
      </w:pPr>
      <w:r w:rsidRPr="00302849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Importante: </w:t>
      </w:r>
      <w:proofErr w:type="spellStart"/>
      <w:r>
        <w:rPr>
          <w:rFonts w:cstheme="minorHAnsi"/>
          <w:b/>
          <w:bCs/>
          <w:color w:val="595959" w:themeColor="text1" w:themeTint="A6"/>
          <w:sz w:val="18"/>
          <w:szCs w:val="18"/>
        </w:rPr>
        <w:t>Δ</w:t>
      </w:r>
      <w:r w:rsidRPr="00302849">
        <w:rPr>
          <w:rFonts w:cstheme="minorHAnsi"/>
          <w:b/>
          <w:bCs/>
          <w:color w:val="595959" w:themeColor="text1" w:themeTint="A6"/>
          <w:sz w:val="18"/>
          <w:szCs w:val="18"/>
        </w:rPr>
        <w:t>Pmáx</w:t>
      </w:r>
      <w:proofErr w:type="spellEnd"/>
      <w:r w:rsidRPr="00302849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. – </w:t>
      </w:r>
      <w:r w:rsidR="00805F9D" w:rsidRPr="00302849">
        <w:rPr>
          <w:rFonts w:cstheme="minorHAnsi"/>
          <w:b/>
          <w:bCs/>
          <w:color w:val="595959" w:themeColor="text1" w:themeTint="A6"/>
          <w:sz w:val="18"/>
          <w:szCs w:val="18"/>
        </w:rPr>
        <w:t>A</w:t>
      </w:r>
      <w:r w:rsidRPr="00302849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válvula de controlo deverá garantir o fecho total “contra esta pressão diferencial”</w:t>
      </w:r>
    </w:p>
    <w:p w14:paraId="386DBC60" w14:textId="68AED198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64E07C59" w14:textId="0C69EAFD" w:rsidR="00817DFA" w:rsidRDefault="00BD2C51" w:rsidP="00BD2C51">
      <w:pPr>
        <w:tabs>
          <w:tab w:val="left" w:pos="9540"/>
        </w:tabs>
        <w:spacing w:line="240" w:lineRule="exact"/>
        <w:rPr>
          <w:rFonts w:ascii="Arial" w:hAnsi="Arial" w:cs="Arial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9EA8B00" wp14:editId="0AD16618">
            <wp:simplePos x="0" y="0"/>
            <wp:positionH relativeFrom="margin">
              <wp:posOffset>3881515</wp:posOffset>
            </wp:positionH>
            <wp:positionV relativeFrom="margin">
              <wp:posOffset>6245278</wp:posOffset>
            </wp:positionV>
            <wp:extent cx="2648585" cy="1566545"/>
            <wp:effectExtent l="0" t="0" r="0" b="0"/>
            <wp:wrapSquare wrapText="bothSides"/>
            <wp:docPr id="1610807112" name="Imagem 3" descr="Uma imagem com Peça de automóvel, máquina, Travão de dis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7112" name="Imagem 3" descr="Uma imagem com Peça de automóvel, máquina, Travão de disc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DFA" w:rsidRPr="008A0001">
        <w:rPr>
          <w:rFonts w:cstheme="minorHAnsi"/>
          <w:b/>
          <w:sz w:val="24"/>
          <w:szCs w:val="24"/>
        </w:rPr>
        <w:t>Materiais construtivos</w:t>
      </w:r>
    </w:p>
    <w:p w14:paraId="130F5B7F" w14:textId="7DDB07C2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Corpo DN15 a DN50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latão niquelado</w:t>
      </w:r>
    </w:p>
    <w:p w14:paraId="4F35BF99" w14:textId="1CAF9292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Veio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aço inox  </w:t>
      </w:r>
    </w:p>
    <w:p w14:paraId="5C042DB7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Esfera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aço inox  </w:t>
      </w:r>
    </w:p>
    <w:p w14:paraId="275ABD38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Caracterizador DN15 a DN50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PTFE</w:t>
      </w:r>
    </w:p>
    <w:p w14:paraId="5F19CADC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Caracterizador DN65 a DN150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aço inox  </w:t>
      </w:r>
    </w:p>
    <w:p w14:paraId="7B8838A1" w14:textId="77777777" w:rsidR="00817DFA" w:rsidRPr="008A0001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Vedante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O’ring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EPDM</w:t>
      </w:r>
    </w:p>
    <w:p w14:paraId="33F1691B" w14:textId="77777777" w:rsidR="00817DFA" w:rsidRDefault="00817DFA" w:rsidP="00817DFA">
      <w:pPr>
        <w:tabs>
          <w:tab w:val="left" w:leader="dot" w:pos="3686"/>
        </w:tabs>
        <w:spacing w:after="120" w:line="200" w:lineRule="exact"/>
        <w:jc w:val="both"/>
        <w:rPr>
          <w:rFonts w:ascii="Arial" w:hAnsi="Arial" w:cs="Arial"/>
          <w:b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Adaptador para motor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polímero reforçado </w:t>
      </w:r>
    </w:p>
    <w:p w14:paraId="4F5A0AF2" w14:textId="77777777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628334EF" w14:textId="77777777" w:rsidR="00BD2C51" w:rsidRDefault="00805F9D" w:rsidP="00BD2C51">
      <w:pPr>
        <w:tabs>
          <w:tab w:val="left" w:pos="9540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37A8BF3B" w14:textId="77777777" w:rsidR="00BD2C51" w:rsidRDefault="00BD2C51" w:rsidP="00BD2C51">
      <w:pPr>
        <w:tabs>
          <w:tab w:val="left" w:pos="9540"/>
        </w:tabs>
        <w:spacing w:line="240" w:lineRule="exact"/>
        <w:rPr>
          <w:rFonts w:cstheme="minorHAnsi"/>
          <w:b/>
        </w:rPr>
      </w:pPr>
    </w:p>
    <w:p w14:paraId="4C62D375" w14:textId="5E928FEF" w:rsidR="00817DFA" w:rsidRDefault="00817DFA" w:rsidP="00BD2C51">
      <w:pPr>
        <w:tabs>
          <w:tab w:val="left" w:pos="9540"/>
        </w:tabs>
        <w:spacing w:line="240" w:lineRule="exact"/>
        <w:rPr>
          <w:rFonts w:ascii="Arial" w:hAnsi="Arial" w:cs="Arial"/>
        </w:rPr>
      </w:pPr>
      <w:r w:rsidRPr="008A0001">
        <w:rPr>
          <w:rFonts w:cstheme="minorHAnsi"/>
          <w:b/>
        </w:rPr>
        <w:lastRenderedPageBreak/>
        <w:t>Atuadores</w:t>
      </w:r>
      <w:r w:rsidRPr="008A0001">
        <w:rPr>
          <w:rFonts w:cstheme="minorHAnsi"/>
          <w:b/>
          <w:sz w:val="24"/>
          <w:szCs w:val="24"/>
        </w:rPr>
        <w:t xml:space="preserve"> </w:t>
      </w:r>
      <w:r w:rsidRPr="008A0001">
        <w:rPr>
          <w:rFonts w:cstheme="minorHAnsi"/>
          <w:b/>
        </w:rPr>
        <w:t>elétricos</w:t>
      </w:r>
      <w:r w:rsidRPr="008A0001">
        <w:rPr>
          <w:rFonts w:cstheme="minorHAnsi"/>
          <w:b/>
          <w:sz w:val="24"/>
          <w:szCs w:val="24"/>
        </w:rPr>
        <w:t xml:space="preserve"> </w:t>
      </w:r>
      <w:r w:rsidRPr="008A0001">
        <w:rPr>
          <w:rFonts w:cstheme="minorHAnsi"/>
          <w:b/>
        </w:rPr>
        <w:t>Acão</w:t>
      </w:r>
      <w:r w:rsidRPr="008A0001">
        <w:rPr>
          <w:rFonts w:cstheme="minorHAnsi"/>
          <w:b/>
          <w:sz w:val="24"/>
          <w:szCs w:val="24"/>
        </w:rPr>
        <w:t xml:space="preserve"> </w:t>
      </w:r>
      <w:proofErr w:type="spellStart"/>
      <w:r w:rsidRPr="008A0001">
        <w:rPr>
          <w:rFonts w:cstheme="minorHAnsi"/>
          <w:b/>
          <w:sz w:val="24"/>
          <w:szCs w:val="24"/>
        </w:rPr>
        <w:t>modulante</w:t>
      </w:r>
      <w:proofErr w:type="spellEnd"/>
      <w:r w:rsidRPr="008A0001">
        <w:rPr>
          <w:rFonts w:cstheme="minorHAnsi"/>
          <w:b/>
          <w:sz w:val="24"/>
          <w:szCs w:val="24"/>
        </w:rPr>
        <w:t xml:space="preserve"> (0-10 VCC)</w:t>
      </w:r>
    </w:p>
    <w:p w14:paraId="06571EC7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Tipo 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elétrico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14:paraId="574461A7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24 VCA</w:t>
      </w:r>
    </w:p>
    <w:p w14:paraId="756327B2" w14:textId="794743B0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Sinal de comando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0-10 VCC, 0,1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mA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(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0V</w:t>
      </w:r>
      <w:proofErr w:type="spellEnd"/>
      <w:r w:rsidRPr="008A0001">
        <w:rPr>
          <w:rFonts w:cstheme="minorHAnsi"/>
          <w:color w:val="595959" w:themeColor="text1" w:themeTint="A6"/>
          <w:sz w:val="18"/>
          <w:szCs w:val="18"/>
        </w:rPr>
        <w:t xml:space="preserve"> = válvula fechada)</w:t>
      </w:r>
    </w:p>
    <w:p w14:paraId="77F6C44F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>cabo com 1 metro (4 condutores)</w:t>
      </w:r>
    </w:p>
    <w:p w14:paraId="50D5F339" w14:textId="77777777" w:rsidR="00817DFA" w:rsidRPr="00BD2C5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BD2C51">
        <w:rPr>
          <w:rFonts w:cstheme="minorHAnsi"/>
          <w:b/>
          <w:bCs/>
          <w:color w:val="595959" w:themeColor="text1" w:themeTint="A6"/>
          <w:sz w:val="18"/>
          <w:szCs w:val="18"/>
        </w:rPr>
        <w:t>Dimensões DN15 a DN25</w:t>
      </w:r>
    </w:p>
    <w:p w14:paraId="3AE0BA88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5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5A60D1AA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Peso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0,55 Kg</w:t>
      </w:r>
    </w:p>
    <w:p w14:paraId="4F5853ED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Dimensões DN32 a DN40</w:t>
      </w:r>
    </w:p>
    <w:p w14:paraId="0A989DE4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10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1BEDF1CC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Peso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0,75 Kg</w:t>
      </w:r>
    </w:p>
    <w:p w14:paraId="1261DAE8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Dimensões DN50 a DN100</w:t>
      </w:r>
    </w:p>
    <w:p w14:paraId="4F17A7CF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20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598D8C82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Peso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1 Kg</w:t>
      </w:r>
    </w:p>
    <w:p w14:paraId="26544F0A" w14:textId="77777777" w:rsidR="00817DFA" w:rsidRPr="00BD2C5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BD2C51">
        <w:rPr>
          <w:rFonts w:cstheme="minorHAnsi"/>
          <w:b/>
          <w:bCs/>
          <w:color w:val="595959" w:themeColor="text1" w:themeTint="A6"/>
          <w:sz w:val="18"/>
          <w:szCs w:val="18"/>
        </w:rPr>
        <w:t>Dimensões DN125 a DN150</w:t>
      </w:r>
    </w:p>
    <w:p w14:paraId="0B68F71F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40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54DD147C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Peso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2,50 Kg</w:t>
      </w:r>
    </w:p>
    <w:p w14:paraId="4067CA0A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Tempo de atuação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90 s (desde válvula totalmente fechada a totalmente aberta)</w:t>
      </w:r>
    </w:p>
    <w:p w14:paraId="68BEB82C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Temperatura ambiente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0 a </w:t>
      </w:r>
      <w:proofErr w:type="spellStart"/>
      <w:r w:rsidRPr="008A0001">
        <w:rPr>
          <w:rFonts w:cstheme="minorHAnsi"/>
          <w:color w:val="595959" w:themeColor="text1" w:themeTint="A6"/>
          <w:sz w:val="18"/>
          <w:szCs w:val="18"/>
        </w:rPr>
        <w:t>50ºC</w:t>
      </w:r>
      <w:proofErr w:type="spellEnd"/>
    </w:p>
    <w:p w14:paraId="77AC6851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Conformidade eletromagnética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CE/89/336/EWG; 2004/108/EC</w:t>
      </w:r>
    </w:p>
    <w:p w14:paraId="2C2AE0B1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IP54 de acordo com EN 60529</w:t>
      </w:r>
    </w:p>
    <w:p w14:paraId="03FAA41F" w14:textId="77777777" w:rsidR="00817DFA" w:rsidRPr="008A0001" w:rsidRDefault="00817DFA" w:rsidP="00805F9D">
      <w:pPr>
        <w:tabs>
          <w:tab w:val="left" w:leader="dot" w:pos="3119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Atuação manual</w:t>
      </w:r>
      <w:r w:rsidRPr="008A0001">
        <w:rPr>
          <w:rFonts w:cstheme="minorHAnsi"/>
          <w:color w:val="595959" w:themeColor="text1" w:themeTint="A6"/>
          <w:sz w:val="18"/>
          <w:szCs w:val="18"/>
        </w:rPr>
        <w:tab/>
        <w:t xml:space="preserve"> patilha da embraiagem no corpo do atuador</w:t>
      </w:r>
    </w:p>
    <w:p w14:paraId="098D4A09" w14:textId="5FC0F3C7" w:rsidR="00817DFA" w:rsidRDefault="00817DFA" w:rsidP="00817DFA">
      <w:pPr>
        <w:spacing w:after="120" w:line="240" w:lineRule="exact"/>
        <w:jc w:val="both"/>
        <w:rPr>
          <w:rFonts w:ascii="Arial" w:hAnsi="Arial" w:cs="Arial"/>
          <w:sz w:val="18"/>
          <w:szCs w:val="18"/>
        </w:rPr>
      </w:pPr>
      <w:r w:rsidRPr="00484A00">
        <w:rPr>
          <w:rFonts w:cstheme="minorHAnsi"/>
          <w:b/>
          <w:bCs/>
          <w:color w:val="595959" w:themeColor="text1" w:themeTint="A6"/>
          <w:sz w:val="18"/>
          <w:szCs w:val="18"/>
        </w:rPr>
        <w:t>Importante: no caso de montagem à intempérie o atuador deverá ser protegido por cobertura não hermética – por modo a evitar chuva e raios solares diretos.</w:t>
      </w:r>
    </w:p>
    <w:p w14:paraId="0C5DF079" w14:textId="77777777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74841CC5" w14:textId="77777777" w:rsidR="00817DFA" w:rsidRDefault="00817DFA" w:rsidP="00BD2C51">
      <w:pPr>
        <w:tabs>
          <w:tab w:val="left" w:pos="9540"/>
        </w:tabs>
        <w:spacing w:line="240" w:lineRule="exact"/>
        <w:rPr>
          <w:rFonts w:cstheme="minorHAnsi"/>
          <w:b/>
          <w:sz w:val="24"/>
          <w:szCs w:val="24"/>
        </w:rPr>
      </w:pPr>
      <w:r w:rsidRPr="00484A00">
        <w:rPr>
          <w:rFonts w:cstheme="minorHAnsi"/>
          <w:b/>
          <w:sz w:val="24"/>
          <w:szCs w:val="24"/>
        </w:rPr>
        <w:t>Dimensionamento</w:t>
      </w:r>
    </w:p>
    <w:p w14:paraId="28AC8753" w14:textId="421681F3" w:rsidR="00817DFA" w:rsidRPr="008A0001" w:rsidRDefault="00817DFA" w:rsidP="00805F9D">
      <w:pPr>
        <w:tabs>
          <w:tab w:val="left" w:pos="9540"/>
        </w:tabs>
        <w:spacing w:line="240" w:lineRule="exact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O dimensionamento da válvula de controlo deve ser feito de modo que sua perda de carga, quando totalmente aberta seja igual a metade da pressão diferencial, entre a entrada e a saída do circuito terminal (onde a válvula for instalada), ao caudal de água nominal.</w:t>
      </w:r>
    </w:p>
    <w:p w14:paraId="7DD051FE" w14:textId="77777777" w:rsidR="00817DFA" w:rsidRPr="008A0001" w:rsidRDefault="00817DFA" w:rsidP="00817DFA">
      <w:pPr>
        <w:spacing w:after="120" w:line="24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8A0001">
        <w:rPr>
          <w:rFonts w:cstheme="minorHAnsi"/>
          <w:color w:val="595959" w:themeColor="text1" w:themeTint="A6"/>
          <w:sz w:val="18"/>
          <w:szCs w:val="18"/>
        </w:rPr>
        <w:t>Este dimensionamento deverá ser objeto de análise e aprovação quando forem conhecidas as características dos circuitos terminais, i. é.  perda de carga dos permutadores de calor.</w:t>
      </w:r>
    </w:p>
    <w:p w14:paraId="3BE66B1E" w14:textId="77777777" w:rsidR="00817DFA" w:rsidRPr="007E5189" w:rsidRDefault="00817DFA" w:rsidP="00817DFA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1A842D4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Marca de referência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Belimo</w:t>
      </w:r>
      <w:proofErr w:type="spellEnd"/>
    </w:p>
    <w:p w14:paraId="7F188C30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Distribuidor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Contimetra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/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Sistimetra</w:t>
      </w:r>
      <w:proofErr w:type="spellEnd"/>
    </w:p>
    <w:p w14:paraId="6BC71116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Modelo do corpo da válvula</w:t>
      </w:r>
    </w:p>
    <w:p w14:paraId="4EE75860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DN15 a DN50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R20</w:t>
      </w:r>
      <w:proofErr w:type="spellEnd"/>
    </w:p>
    <w:p w14:paraId="1C363D8F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DN65 a DN150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R60</w:t>
      </w:r>
      <w:proofErr w:type="spellEnd"/>
    </w:p>
    <w:p w14:paraId="67E452E4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Modelo do atuador</w:t>
      </w:r>
    </w:p>
    <w:p w14:paraId="3D4CDAA8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5</w:t>
      </w:r>
      <w:r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 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Nm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  <w:t>LR24A-SR</w:t>
      </w:r>
    </w:p>
    <w:p w14:paraId="486D331A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10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Nm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  <w:t>NR24A-SR</w:t>
      </w:r>
    </w:p>
    <w:p w14:paraId="204E3EA5" w14:textId="77777777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20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Nm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  <w:t>SR24A-SR-5</w:t>
      </w:r>
    </w:p>
    <w:p w14:paraId="3576381A" w14:textId="5FBD1A7D" w:rsidR="002D06D7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40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Nm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  <w:t>GR24A-SR-5</w:t>
      </w:r>
    </w:p>
    <w:p w14:paraId="4ABB21AB" w14:textId="77777777" w:rsidR="00BD2C51" w:rsidRPr="00350C11" w:rsidRDefault="00BD2C51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sz w:val="18"/>
          <w:szCs w:val="18"/>
        </w:rPr>
      </w:pPr>
    </w:p>
    <w:p w14:paraId="13531DE2" w14:textId="4F2F2C3D" w:rsidR="00BD2C51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927CEB">
        <w:rPr>
          <w:rFonts w:cstheme="minorHAnsi"/>
          <w:sz w:val="12"/>
          <w:szCs w:val="12"/>
        </w:rPr>
        <w:t>valvulasdecontrolo</w:t>
      </w:r>
      <w:proofErr w:type="spellEnd"/>
      <w:r w:rsidR="00927CEB">
        <w:rPr>
          <w:rFonts w:cstheme="minorHAnsi"/>
          <w:sz w:val="12"/>
          <w:szCs w:val="12"/>
        </w:rPr>
        <w:t>/</w:t>
      </w:r>
      <w:r w:rsidR="00817DFA">
        <w:rPr>
          <w:rFonts w:cstheme="minorHAnsi"/>
          <w:sz w:val="12"/>
          <w:szCs w:val="12"/>
        </w:rPr>
        <w:t>R20_R60</w:t>
      </w:r>
      <w:r w:rsidRPr="00350C11">
        <w:rPr>
          <w:rFonts w:cstheme="minorHAnsi"/>
          <w:sz w:val="12"/>
          <w:szCs w:val="12"/>
        </w:rPr>
        <w:t>.docx</w:t>
      </w:r>
    </w:p>
    <w:sectPr w:rsidR="00DE10F4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4231E"/>
    <w:rsid w:val="00265F26"/>
    <w:rsid w:val="0027342B"/>
    <w:rsid w:val="00290D09"/>
    <w:rsid w:val="002D06D7"/>
    <w:rsid w:val="002F1DD3"/>
    <w:rsid w:val="002F680E"/>
    <w:rsid w:val="002F6E06"/>
    <w:rsid w:val="00306B3A"/>
    <w:rsid w:val="00350C11"/>
    <w:rsid w:val="0035775F"/>
    <w:rsid w:val="00393498"/>
    <w:rsid w:val="003A480F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305B5"/>
    <w:rsid w:val="00652982"/>
    <w:rsid w:val="00692F4B"/>
    <w:rsid w:val="00696F06"/>
    <w:rsid w:val="00697DFC"/>
    <w:rsid w:val="006A0E89"/>
    <w:rsid w:val="006A3B53"/>
    <w:rsid w:val="006B49E9"/>
    <w:rsid w:val="006F51F3"/>
    <w:rsid w:val="006F7414"/>
    <w:rsid w:val="00714122"/>
    <w:rsid w:val="007159BD"/>
    <w:rsid w:val="007272B8"/>
    <w:rsid w:val="00765C50"/>
    <w:rsid w:val="007D092F"/>
    <w:rsid w:val="007D4F2A"/>
    <w:rsid w:val="00805F9D"/>
    <w:rsid w:val="00817DFA"/>
    <w:rsid w:val="00885277"/>
    <w:rsid w:val="008B185A"/>
    <w:rsid w:val="008E1C41"/>
    <w:rsid w:val="008F2FCA"/>
    <w:rsid w:val="00927CEB"/>
    <w:rsid w:val="009845A7"/>
    <w:rsid w:val="0099670E"/>
    <w:rsid w:val="009C313E"/>
    <w:rsid w:val="009C3571"/>
    <w:rsid w:val="009E4A8E"/>
    <w:rsid w:val="00A078D6"/>
    <w:rsid w:val="00A9287D"/>
    <w:rsid w:val="00AE6201"/>
    <w:rsid w:val="00B07AA1"/>
    <w:rsid w:val="00B10019"/>
    <w:rsid w:val="00B42024"/>
    <w:rsid w:val="00B722B7"/>
    <w:rsid w:val="00B73304"/>
    <w:rsid w:val="00B96C4D"/>
    <w:rsid w:val="00BD2C51"/>
    <w:rsid w:val="00C41D0D"/>
    <w:rsid w:val="00C623D5"/>
    <w:rsid w:val="00CB58D0"/>
    <w:rsid w:val="00CE44EF"/>
    <w:rsid w:val="00CF77AB"/>
    <w:rsid w:val="00D03C0C"/>
    <w:rsid w:val="00D32211"/>
    <w:rsid w:val="00D46A48"/>
    <w:rsid w:val="00D518EC"/>
    <w:rsid w:val="00D85DF1"/>
    <w:rsid w:val="00D918BE"/>
    <w:rsid w:val="00DC18E0"/>
    <w:rsid w:val="00DD1B0A"/>
    <w:rsid w:val="00DD4426"/>
    <w:rsid w:val="00E53439"/>
    <w:rsid w:val="00E77DD3"/>
    <w:rsid w:val="00E90399"/>
    <w:rsid w:val="00EB414E"/>
    <w:rsid w:val="00F01F96"/>
    <w:rsid w:val="00F3525F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2024-08-06T10:35:00Z</dcterms:created>
  <dcterms:modified xsi:type="dcterms:W3CDTF">2024-08-06T10:35:00Z</dcterms:modified>
</cp:coreProperties>
</file>