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7F322952" w14:textId="44B61C8D" w:rsidR="00927CEB" w:rsidRPr="00942E65" w:rsidRDefault="00927CEB" w:rsidP="00927CEB">
      <w:pPr>
        <w:spacing w:after="240" w:line="360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942E65">
        <w:rPr>
          <w:rFonts w:cstheme="minorHAnsi"/>
          <w:b/>
          <w:color w:val="000000"/>
          <w:sz w:val="28"/>
          <w:szCs w:val="28"/>
        </w:rPr>
        <w:t xml:space="preserve">Válvula de controlo, </w:t>
      </w:r>
      <w:r w:rsidR="00E90399">
        <w:rPr>
          <w:rFonts w:cstheme="minorHAnsi"/>
          <w:b/>
          <w:color w:val="000000"/>
          <w:sz w:val="28"/>
          <w:szCs w:val="28"/>
        </w:rPr>
        <w:t>2 vias</w:t>
      </w:r>
      <w:r w:rsidRPr="00942E65">
        <w:rPr>
          <w:rFonts w:cstheme="minorHAnsi"/>
          <w:b/>
          <w:color w:val="000000"/>
          <w:sz w:val="28"/>
          <w:szCs w:val="28"/>
        </w:rPr>
        <w:t>,</w:t>
      </w:r>
      <w:r w:rsidRPr="00942E65">
        <w:rPr>
          <w:rFonts w:cstheme="minorHAnsi"/>
          <w:b/>
          <w:color w:val="000000"/>
          <w:sz w:val="28"/>
          <w:szCs w:val="28"/>
        </w:rPr>
        <w:br/>
        <w:t xml:space="preserve">independente da pressão diferencial com contador de energia </w:t>
      </w:r>
      <w:proofErr w:type="spellStart"/>
      <w:r w:rsidRPr="00942E65">
        <w:rPr>
          <w:rFonts w:cstheme="minorHAnsi"/>
          <w:b/>
          <w:color w:val="000000"/>
          <w:sz w:val="28"/>
          <w:szCs w:val="28"/>
        </w:rPr>
        <w:t>Energy</w:t>
      </w:r>
      <w:proofErr w:type="spellEnd"/>
      <w:r w:rsidRPr="00942E65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942E65">
        <w:rPr>
          <w:rFonts w:cstheme="minorHAnsi"/>
          <w:b/>
          <w:color w:val="000000"/>
          <w:sz w:val="28"/>
          <w:szCs w:val="28"/>
        </w:rPr>
        <w:t>Valve</w:t>
      </w:r>
      <w:proofErr w:type="spellEnd"/>
      <w:r w:rsidRPr="00942E65">
        <w:rPr>
          <w:rFonts w:cstheme="minorHAnsi"/>
          <w:b/>
          <w:color w:val="000000"/>
          <w:sz w:val="28"/>
          <w:szCs w:val="28"/>
        </w:rPr>
        <w:t xml:space="preserve"> TM (DN15 a DN50) </w:t>
      </w:r>
    </w:p>
    <w:p w14:paraId="426824A7" w14:textId="77777777" w:rsidR="00927CEB" w:rsidRDefault="00927CEB" w:rsidP="00927CE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</w:rPr>
      </w:pPr>
    </w:p>
    <w:p w14:paraId="3052E9DE" w14:textId="77777777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t>Descrição (aplicação e funcionamento)</w:t>
      </w:r>
    </w:p>
    <w:p w14:paraId="77E2C342" w14:textId="49BEF49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Válvula de controlo de </w:t>
      </w:r>
      <w:r w:rsidR="00E90399">
        <w:rPr>
          <w:rFonts w:cstheme="minorHAnsi"/>
          <w:color w:val="595959" w:themeColor="text1" w:themeTint="A6"/>
          <w:sz w:val="18"/>
          <w:szCs w:val="18"/>
        </w:rPr>
        <w:t>2 vias</w:t>
      </w: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própria para a regulação de caudal ou de potência térmica, (0 a 100%) de água quente ou fria em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UTA’s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e permutadores de pequenas e médias dimensões – caudal de água entre 1 e 1</w:t>
      </w:r>
      <w:r w:rsidR="00E77DD3">
        <w:rPr>
          <w:rFonts w:cstheme="minorHAnsi"/>
          <w:color w:val="595959" w:themeColor="text1" w:themeTint="A6"/>
          <w:sz w:val="18"/>
          <w:szCs w:val="18"/>
        </w:rPr>
        <w:t xml:space="preserve">5 </w:t>
      </w:r>
      <w:r w:rsidRPr="00942E65">
        <w:rPr>
          <w:rFonts w:cstheme="minorHAnsi"/>
          <w:color w:val="595959" w:themeColor="text1" w:themeTint="A6"/>
          <w:sz w:val="18"/>
          <w:szCs w:val="18"/>
        </w:rPr>
        <w:t>m</w:t>
      </w:r>
      <w:r w:rsidRPr="00E77DD3">
        <w:rPr>
          <w:rFonts w:cstheme="minorHAnsi"/>
          <w:color w:val="595959" w:themeColor="text1" w:themeTint="A6"/>
          <w:sz w:val="18"/>
          <w:szCs w:val="18"/>
          <w:vertAlign w:val="superscript"/>
        </w:rPr>
        <w:t>3</w:t>
      </w: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/h. Essa regulação é feita em resposta a um sinal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(0-10 VCC) – proveniente de um controlador ou via bus de comunicação - independentemente da pressão diferencial (até 350 kPa). Esta característica confere uma autoridade total da válvula no circuito hidráulico onde for inserida.</w:t>
      </w:r>
    </w:p>
    <w:p w14:paraId="5169C478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Não são necessárias as válvulas de equilíbrio de caudal em série uma vez que esta válvula assegura instantaneamente o caudal necessário e independentemente do funcionamento das outras válvulas de controlo e da bomba.</w:t>
      </w:r>
    </w:p>
    <w:p w14:paraId="61A3156B" w14:textId="63345263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Estas duas características combinadas permitem um controlo eficaz e preciso da temperatura em ambientes tratados por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UTA's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ou permutadores de calor.</w:t>
      </w:r>
    </w:p>
    <w:p w14:paraId="4879A44E" w14:textId="757BC3A3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 unidade de controlo integrada terá a capacidade de monitorizar e guardar em memória, até um ano, a informação de temperaturas de água, delta T, caudal, potência e energia acumulada. Estes registos poderão ser acedidos via bus: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IP;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MS/TP ou MP-Bus, tendo para isto um Web Server integrado.</w:t>
      </w:r>
    </w:p>
    <w:p w14:paraId="7DA11687" w14:textId="3DA095B6" w:rsidR="00927CEB" w:rsidRDefault="00927CEB" w:rsidP="00927CE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7EA4336" w14:textId="368519F4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t>Composição</w:t>
      </w:r>
    </w:p>
    <w:p w14:paraId="6121465B" w14:textId="41EF654F" w:rsidR="00927CEB" w:rsidRPr="00942E65" w:rsidRDefault="00927CEB" w:rsidP="00927CEB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 válvula é constituída por três componentes integrados num só corpo:</w:t>
      </w:r>
    </w:p>
    <w:p w14:paraId="549505CC" w14:textId="2860A287" w:rsidR="00927CEB" w:rsidRPr="00942E65" w:rsidRDefault="00927CEB" w:rsidP="00927CEB">
      <w:pPr>
        <w:pStyle w:val="PargrafodaLista"/>
        <w:numPr>
          <w:ilvl w:val="0"/>
          <w:numId w:val="9"/>
        </w:numPr>
        <w:spacing w:after="12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Válvula motorizada de </w:t>
      </w:r>
      <w:r w:rsidR="00E90399">
        <w:rPr>
          <w:rFonts w:cstheme="minorHAnsi"/>
          <w:color w:val="595959" w:themeColor="text1" w:themeTint="A6"/>
          <w:sz w:val="18"/>
          <w:szCs w:val="18"/>
        </w:rPr>
        <w:t>2 vias</w:t>
      </w: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com caracterizador</w:t>
      </w:r>
    </w:p>
    <w:p w14:paraId="740C3CCC" w14:textId="50E4AA9D" w:rsidR="00927CEB" w:rsidRPr="00E77DD3" w:rsidRDefault="00927CEB" w:rsidP="006C0AA3">
      <w:pPr>
        <w:pStyle w:val="PargrafodaLista"/>
        <w:numPr>
          <w:ilvl w:val="0"/>
          <w:numId w:val="9"/>
        </w:numPr>
        <w:spacing w:after="12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E77DD3">
        <w:rPr>
          <w:rFonts w:cstheme="minorHAnsi"/>
          <w:color w:val="595959" w:themeColor="text1" w:themeTint="A6"/>
          <w:sz w:val="18"/>
          <w:szCs w:val="18"/>
        </w:rPr>
        <w:t xml:space="preserve">Medidor de caudal de água ultrassónico e transmissor de caudal de água eletrónico.com comunicação por protocolo </w:t>
      </w:r>
      <w:proofErr w:type="spellStart"/>
      <w:r w:rsidRPr="00E77DD3">
        <w:rPr>
          <w:rFonts w:cstheme="minorHAnsi"/>
          <w:color w:val="595959" w:themeColor="text1" w:themeTint="A6"/>
          <w:sz w:val="18"/>
          <w:szCs w:val="18"/>
        </w:rPr>
        <w:t>Belimo</w:t>
      </w:r>
      <w:proofErr w:type="spellEnd"/>
      <w:r w:rsidRPr="00E77DD3">
        <w:rPr>
          <w:rFonts w:cstheme="minorHAnsi"/>
          <w:color w:val="595959" w:themeColor="text1" w:themeTint="A6"/>
          <w:sz w:val="18"/>
          <w:szCs w:val="18"/>
        </w:rPr>
        <w:t xml:space="preserve"> MP-Bus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IP,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MS/</w:t>
      </w:r>
      <w:proofErr w:type="gram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TP ,</w:t>
      </w:r>
      <w:proofErr w:type="gram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TCP ou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RTU.</w:t>
      </w:r>
    </w:p>
    <w:p w14:paraId="14854836" w14:textId="5C7E24D9" w:rsidR="00927CEB" w:rsidRPr="00942E65" w:rsidRDefault="00927CEB" w:rsidP="00927CEB">
      <w:pPr>
        <w:pStyle w:val="PargrafodaLista"/>
        <w:numPr>
          <w:ilvl w:val="0"/>
          <w:numId w:val="9"/>
        </w:numPr>
        <w:spacing w:after="12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2 Sondas de temperatura para montagem uma na ida e outra no retorno do permutador térmico.</w:t>
      </w:r>
    </w:p>
    <w:p w14:paraId="582FFAE2" w14:textId="4A5FC2EB" w:rsidR="00927CEB" w:rsidRDefault="001B4A0C" w:rsidP="00927CEB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716918" wp14:editId="56C596F9">
            <wp:simplePos x="0" y="0"/>
            <wp:positionH relativeFrom="margin">
              <wp:align>right</wp:align>
            </wp:positionH>
            <wp:positionV relativeFrom="paragraph">
              <wp:posOffset>182300</wp:posOffset>
            </wp:positionV>
            <wp:extent cx="2651765" cy="1522479"/>
            <wp:effectExtent l="0" t="0" r="0" b="1905"/>
            <wp:wrapSquare wrapText="bothSides"/>
            <wp:docPr id="1702138837" name="Imagem 1" descr="Uma imagem com brinquedo, máquin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38837" name="Imagem 1" descr="Uma imagem com brinquedo, máquin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152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F4B74" w14:textId="3DB7AC74" w:rsidR="00927CEB" w:rsidRDefault="00927CEB">
      <w:pPr>
        <w:rPr>
          <w:rFonts w:cstheme="minorHAnsi"/>
          <w:b/>
          <w:sz w:val="24"/>
          <w:szCs w:val="24"/>
          <w:lang w:eastAsia="pt-PT"/>
        </w:rPr>
      </w:pPr>
      <w:r>
        <w:rPr>
          <w:rFonts w:cstheme="minorHAnsi"/>
          <w:b/>
          <w:sz w:val="24"/>
          <w:szCs w:val="24"/>
          <w:lang w:eastAsia="pt-PT"/>
        </w:rPr>
        <w:br w:type="page"/>
      </w:r>
    </w:p>
    <w:p w14:paraId="43B8A3F1" w14:textId="236AF5AA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lastRenderedPageBreak/>
        <w:t>Características técnicas principais</w:t>
      </w:r>
    </w:p>
    <w:p w14:paraId="1D762759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>Corpo da válvula</w:t>
      </w:r>
    </w:p>
    <w:p w14:paraId="58D05028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Tamanhos disponíveis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DN15 / 20 / 25 / 32 / 40 e 50</w:t>
      </w:r>
    </w:p>
    <w:p w14:paraId="4A9FEBA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Característica de controlo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igual percentagem (logarítmica) ou linear (comutável)</w:t>
      </w:r>
    </w:p>
    <w:p w14:paraId="7420D07E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Pressão nominal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PN16</w:t>
      </w:r>
    </w:p>
    <w:p w14:paraId="29EB55A8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Pressão diferencial de trabalho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15 a 350 kPa</w:t>
      </w:r>
    </w:p>
    <w:p w14:paraId="4441C674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Pressão diferencial (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máx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>.)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1400 kPa (contra a qual a válvula consegue fechar)</w:t>
      </w:r>
    </w:p>
    <w:p w14:paraId="2A67215D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proofErr w:type="gramStart"/>
      <w:r w:rsidRPr="00942E65">
        <w:rPr>
          <w:rFonts w:cstheme="minorHAnsi"/>
          <w:color w:val="595959" w:themeColor="text1" w:themeTint="A6"/>
          <w:sz w:val="18"/>
          <w:szCs w:val="18"/>
        </w:rPr>
        <w:t>Fluido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água</w:t>
      </w:r>
      <w:proofErr w:type="gram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tratada com ou sem glicol (até 50%)</w:t>
      </w:r>
    </w:p>
    <w:p w14:paraId="5177C2BA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Gama de temperatura do fluido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-</w:t>
      </w:r>
      <w:proofErr w:type="gramStart"/>
      <w:r w:rsidRPr="00942E65">
        <w:rPr>
          <w:rFonts w:cstheme="minorHAnsi"/>
          <w:color w:val="595959" w:themeColor="text1" w:themeTint="A6"/>
          <w:sz w:val="18"/>
          <w:szCs w:val="18"/>
        </w:rPr>
        <w:t>10  a</w:t>
      </w:r>
      <w:proofErr w:type="gram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120ºC</w:t>
      </w:r>
    </w:p>
    <w:p w14:paraId="7A764085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Gama de ajuste de caudal máximo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30% a 100% do caudal nominal de cada tamanho</w:t>
      </w:r>
    </w:p>
    <w:p w14:paraId="25961E30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Gama de caudais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1,5 a 15 m3/h</w:t>
      </w:r>
    </w:p>
    <w:p w14:paraId="0B10D243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roscadas fêmea (ISO 7-1)</w:t>
      </w:r>
    </w:p>
    <w:p w14:paraId="1F5EF80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Tolerância do controlo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+/- 10% do caudal instantâneo</w:t>
      </w:r>
    </w:p>
    <w:p w14:paraId="195D29E3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942E65">
        <w:rPr>
          <w:rFonts w:cstheme="minorHAnsi"/>
          <w:b/>
          <w:color w:val="000000"/>
          <w:sz w:val="20"/>
          <w:szCs w:val="20"/>
        </w:rPr>
        <w:t>Materiais</w:t>
      </w:r>
    </w:p>
    <w:p w14:paraId="261CB60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Corpo da válvula e unidade de medição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latão niquelado</w:t>
      </w:r>
    </w:p>
    <w:p w14:paraId="36808FE6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Esfera e veio de ajuste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aço inox</w:t>
      </w:r>
    </w:p>
    <w:p w14:paraId="7D1D4477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Dispositivo caracterizador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aço inox</w:t>
      </w:r>
    </w:p>
    <w:p w14:paraId="66D8883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Vedante e O-rings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EPDM</w:t>
      </w:r>
    </w:p>
    <w:p w14:paraId="1BEF3B25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Adaptador para o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actuador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ab/>
        <w:t>polímero reforçado</w:t>
      </w:r>
    </w:p>
    <w:p w14:paraId="37C5096A" w14:textId="77777777" w:rsidR="00927CEB" w:rsidRDefault="00927CEB" w:rsidP="00927CEB">
      <w:pPr>
        <w:tabs>
          <w:tab w:val="left" w:pos="9540"/>
        </w:tabs>
        <w:rPr>
          <w:rFonts w:ascii="Arial" w:hAnsi="Arial" w:cs="Arial"/>
          <w:b/>
          <w:sz w:val="18"/>
          <w:szCs w:val="18"/>
        </w:rPr>
      </w:pPr>
    </w:p>
    <w:p w14:paraId="1D07059F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 xml:space="preserve">Atuadores elétricos Ação </w:t>
      </w:r>
      <w:proofErr w:type="spellStart"/>
      <w:r w:rsidRPr="00942E65">
        <w:rPr>
          <w:rFonts w:cstheme="minorHAnsi"/>
          <w:b/>
          <w:color w:val="000000"/>
          <w:sz w:val="20"/>
          <w:szCs w:val="20"/>
        </w:rPr>
        <w:t>modulante</w:t>
      </w:r>
      <w:proofErr w:type="spellEnd"/>
      <w:r w:rsidRPr="00942E65">
        <w:rPr>
          <w:rFonts w:cstheme="minorHAnsi"/>
          <w:b/>
          <w:color w:val="000000"/>
          <w:sz w:val="20"/>
          <w:szCs w:val="20"/>
        </w:rPr>
        <w:t xml:space="preserve"> (0-10 VCC)</w:t>
      </w:r>
    </w:p>
    <w:p w14:paraId="316F5DA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Tipo 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elétrico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</w:t>
      </w:r>
    </w:p>
    <w:p w14:paraId="1867E486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Alimentação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24 VCA/CC (7,5 VA)</w:t>
      </w:r>
    </w:p>
    <w:p w14:paraId="64B6A5E5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Sinal de comando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0-10 VCC, 0,1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mA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gramStart"/>
      <w:r w:rsidRPr="00942E65">
        <w:rPr>
          <w:rFonts w:cstheme="minorHAnsi"/>
          <w:color w:val="595959" w:themeColor="text1" w:themeTint="A6"/>
          <w:sz w:val="18"/>
          <w:szCs w:val="18"/>
        </w:rPr>
        <w:t>( 0</w:t>
      </w:r>
      <w:proofErr w:type="gramEnd"/>
      <w:r w:rsidRPr="00942E65">
        <w:rPr>
          <w:rFonts w:cstheme="minorHAnsi"/>
          <w:color w:val="595959" w:themeColor="text1" w:themeTint="A6"/>
          <w:sz w:val="18"/>
          <w:szCs w:val="18"/>
        </w:rPr>
        <w:t>V = válvula fechada)</w:t>
      </w:r>
    </w:p>
    <w:p w14:paraId="4E072B64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cabo com 1 metro (4 condutores)</w:t>
      </w:r>
    </w:p>
    <w:p w14:paraId="0418761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Dimensões DN15 a DN25</w:t>
      </w:r>
    </w:p>
    <w:p w14:paraId="397642BE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  Binário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5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08EB4154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Dimensões DN32 a DN40</w:t>
      </w:r>
    </w:p>
    <w:p w14:paraId="4435DFE0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  Binário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10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61DA5C3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Dimensão DN50</w:t>
      </w:r>
    </w:p>
    <w:p w14:paraId="111124B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  Binário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20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59B96B4C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Tempo de atuação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90 s (desde válvula totalmente fechada a totalmente aberta)</w:t>
      </w:r>
    </w:p>
    <w:p w14:paraId="39562A03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Temperatura ambiente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0 a 50ºC</w:t>
      </w:r>
    </w:p>
    <w:p w14:paraId="3996820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Conformidade eletromagnética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CE/89/336/EWG; 2004/108/EC</w:t>
      </w:r>
    </w:p>
    <w:p w14:paraId="5E07A860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IP54 de acordo com EN 60529</w:t>
      </w:r>
    </w:p>
    <w:p w14:paraId="66D3568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Atuação manual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patilha da embraiagem no corpo do atuador</w:t>
      </w:r>
    </w:p>
    <w:p w14:paraId="54AC135F" w14:textId="77777777" w:rsidR="00927CEB" w:rsidRPr="0020179C" w:rsidRDefault="00927CEB" w:rsidP="00927CEB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8700D88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>Importante: no caso de montagem à intempérie o atuador deverá ser protegido por cobertura não hermética – por modo a evitar chuva e raios solares diretos.</w:t>
      </w:r>
    </w:p>
    <w:p w14:paraId="2DC41B6F" w14:textId="77777777" w:rsidR="00927CEB" w:rsidRDefault="00927CEB" w:rsidP="00927CE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575D42EC" w14:textId="77777777" w:rsidR="00927CEB" w:rsidRPr="00942E65" w:rsidRDefault="00927CEB" w:rsidP="00F94EA7">
      <w:pPr>
        <w:spacing w:after="100" w:line="36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lastRenderedPageBreak/>
        <w:t>Sondas de temperatura</w:t>
      </w:r>
    </w:p>
    <w:p w14:paraId="2FDD2A28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As sondas de temperatura incluem bainhas em porta sondas roscados com a mesma dimensão da válvula.</w:t>
      </w:r>
    </w:p>
    <w:p w14:paraId="52A712E0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O elemento sensor é do tipo: PT1000 EN60751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Class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B   ± 0.6°C @ 60°C, com resolução de 0,05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ºC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>.</w:t>
      </w:r>
    </w:p>
    <w:p w14:paraId="0DE00767" w14:textId="77777777" w:rsidR="00927CEB" w:rsidRPr="00942E65" w:rsidRDefault="00927CEB" w:rsidP="00F94EA7">
      <w:pPr>
        <w:spacing w:after="100" w:line="36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>Controlo, monitorização e parametrização</w:t>
      </w:r>
    </w:p>
    <w:p w14:paraId="6688A340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O controlo da válvula pode ser feito por sinal de 0 a 10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Vcc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proveniente de controlador DDC ou via Bus de comunicação.</w:t>
      </w:r>
    </w:p>
    <w:p w14:paraId="22EBCE3B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 monitorização dos diversos parâmetros é feita num PC através de um web browser. </w:t>
      </w:r>
    </w:p>
    <w:p w14:paraId="4B536A33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 ligação da válvula ao PC é feita por ficha RJ45. </w:t>
      </w:r>
    </w:p>
    <w:p w14:paraId="4DC9F342" w14:textId="77777777" w:rsidR="00927CEB" w:rsidRDefault="00927CEB" w:rsidP="00927CE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</w:rPr>
      </w:pPr>
    </w:p>
    <w:p w14:paraId="5786014B" w14:textId="77777777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t>Montagem</w:t>
      </w:r>
    </w:p>
    <w:p w14:paraId="4AEC7DAD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Deverá ser montada na tubagem de retorno, tanto em aplicações de água quente como fria, observando, obrigatoriamente, um comprimento reto de aproximadamente 5 x o diâmetro da tubagem entre a saída da unidade/permutador e a entrada da válvula.</w:t>
      </w:r>
    </w:p>
    <w:p w14:paraId="6D9E311C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Outro aspeto importante a ter em linha de conta é a posição do atuador face á linha horizontal: o ângulo deste e a horizontal deverá ser entre 10º a 170º. Por outras palavras o atuador não pode ficar num nível inferior à linha horizontal. Evitar-se-ão, assim, condensados na caixa eletrónica.</w:t>
      </w:r>
    </w:p>
    <w:p w14:paraId="68CEE226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É aconselhável uma leitura atenta às instruções de montagem, da responsabilidade do fabricante, antes de preceder à sua montagem.</w:t>
      </w:r>
    </w:p>
    <w:p w14:paraId="63C6CA0F" w14:textId="77777777" w:rsidR="00927CEB" w:rsidRDefault="00927CEB" w:rsidP="00927CE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5C427DC2" w14:textId="77777777" w:rsidR="00927CEB" w:rsidRPr="00D524A5" w:rsidRDefault="00927CEB" w:rsidP="00927CEB">
      <w:pPr>
        <w:tabs>
          <w:tab w:val="left" w:pos="9540"/>
        </w:tabs>
        <w:spacing w:line="360" w:lineRule="auto"/>
        <w:rPr>
          <w:rFonts w:ascii="Arial" w:hAnsi="Arial" w:cs="Arial"/>
          <w:b/>
          <w:color w:val="000000"/>
        </w:rPr>
      </w:pPr>
      <w:r w:rsidRPr="00942E65">
        <w:rPr>
          <w:rFonts w:cstheme="minorHAnsi"/>
          <w:b/>
          <w:sz w:val="24"/>
          <w:szCs w:val="24"/>
          <w:lang w:eastAsia="pt-PT"/>
        </w:rPr>
        <w:t>Dimensionamento</w:t>
      </w:r>
    </w:p>
    <w:p w14:paraId="7DDF7349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O tamanho nominal da válvula deve ter por base o caudal máximo do projeto.</w:t>
      </w:r>
    </w:p>
    <w:p w14:paraId="0056A25F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Deverá ser escolhida a válvula cujo caudal nominal seja superior a esse caudal máximo – o mais próximo possível.</w:t>
      </w:r>
    </w:p>
    <w:p w14:paraId="169FCAE4" w14:textId="77777777" w:rsidR="00927CEB" w:rsidRDefault="00927CEB" w:rsidP="00927CEB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E5BC72E" w14:textId="1E47DB1A" w:rsidR="00927CEB" w:rsidRPr="00942E65" w:rsidRDefault="00927CEB" w:rsidP="00927CEB">
      <w:pPr>
        <w:tabs>
          <w:tab w:val="left" w:leader="dot" w:pos="3686"/>
        </w:tabs>
        <w:spacing w:line="36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942E65">
        <w:rPr>
          <w:rFonts w:cstheme="minorHAnsi"/>
          <w:b/>
          <w:color w:val="595959" w:themeColor="text1" w:themeTint="A6"/>
          <w:sz w:val="20"/>
          <w:szCs w:val="20"/>
        </w:rPr>
        <w:t>Marca de referência</w:t>
      </w:r>
      <w:r w:rsidRPr="00942E65">
        <w:rPr>
          <w:rFonts w:cstheme="minorHAnsi"/>
          <w:color w:val="595959" w:themeColor="text1" w:themeTint="A6"/>
          <w:sz w:val="20"/>
          <w:szCs w:val="20"/>
        </w:rPr>
        <w:tab/>
        <w:t xml:space="preserve"> </w:t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BELIMO</w:t>
      </w:r>
      <w:r>
        <w:rPr>
          <w:rFonts w:cstheme="minorHAnsi"/>
          <w:b/>
          <w:color w:val="595959" w:themeColor="text1" w:themeTint="A6"/>
          <w:sz w:val="20"/>
          <w:szCs w:val="20"/>
        </w:rPr>
        <w:br/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Distribuidor</w:t>
      </w:r>
      <w:r w:rsidRPr="00942E65">
        <w:rPr>
          <w:rFonts w:cstheme="minorHAnsi"/>
          <w:color w:val="595959" w:themeColor="text1" w:themeTint="A6"/>
          <w:sz w:val="20"/>
          <w:szCs w:val="20"/>
        </w:rPr>
        <w:tab/>
      </w:r>
      <w:r w:rsidRPr="00E77DD3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 Grupo</w:t>
      </w:r>
      <w:r>
        <w:rPr>
          <w:rFonts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942E65">
        <w:rPr>
          <w:rFonts w:cstheme="minorHAnsi"/>
          <w:b/>
          <w:color w:val="595959" w:themeColor="text1" w:themeTint="A6"/>
          <w:sz w:val="20"/>
          <w:szCs w:val="20"/>
        </w:rPr>
        <w:t>Contimetra</w:t>
      </w:r>
      <w:proofErr w:type="spellEnd"/>
      <w:r w:rsidRPr="00942E65">
        <w:rPr>
          <w:rFonts w:cstheme="minorHAnsi"/>
          <w:b/>
          <w:color w:val="595959" w:themeColor="text1" w:themeTint="A6"/>
          <w:sz w:val="20"/>
          <w:szCs w:val="20"/>
        </w:rPr>
        <w:t xml:space="preserve"> / </w:t>
      </w:r>
      <w:proofErr w:type="spellStart"/>
      <w:r w:rsidRPr="00942E65">
        <w:rPr>
          <w:rFonts w:cstheme="minorHAnsi"/>
          <w:b/>
          <w:color w:val="595959" w:themeColor="text1" w:themeTint="A6"/>
          <w:sz w:val="20"/>
          <w:szCs w:val="20"/>
        </w:rPr>
        <w:t>Sistimetra</w:t>
      </w:r>
      <w:proofErr w:type="spellEnd"/>
      <w:r>
        <w:rPr>
          <w:rFonts w:cstheme="minorHAnsi"/>
          <w:b/>
          <w:color w:val="595959" w:themeColor="text1" w:themeTint="A6"/>
          <w:sz w:val="20"/>
          <w:szCs w:val="20"/>
        </w:rPr>
        <w:br/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Modelo</w:t>
      </w:r>
      <w:r w:rsidRPr="00942E65">
        <w:rPr>
          <w:rFonts w:cstheme="minorHAnsi"/>
          <w:color w:val="595959" w:themeColor="text1" w:themeTint="A6"/>
          <w:sz w:val="20"/>
          <w:szCs w:val="20"/>
        </w:rPr>
        <w:tab/>
        <w:t xml:space="preserve"> </w:t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EV0xxR + BAC</w:t>
      </w:r>
    </w:p>
    <w:p w14:paraId="3576381A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13531DE2" w14:textId="23ACC330" w:rsidR="00DE10F4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927CEB">
        <w:rPr>
          <w:rFonts w:cstheme="minorHAnsi"/>
          <w:sz w:val="12"/>
          <w:szCs w:val="12"/>
        </w:rPr>
        <w:t>valvulasdecontrolo</w:t>
      </w:r>
      <w:proofErr w:type="spellEnd"/>
      <w:r w:rsidR="00927CEB">
        <w:rPr>
          <w:rFonts w:cstheme="minorHAnsi"/>
          <w:sz w:val="12"/>
          <w:szCs w:val="12"/>
        </w:rPr>
        <w:t>/</w:t>
      </w:r>
      <w:r w:rsidR="00927CEB" w:rsidRPr="00927CEB">
        <w:rPr>
          <w:rFonts w:cstheme="minorHAnsi"/>
          <w:sz w:val="12"/>
          <w:szCs w:val="12"/>
        </w:rPr>
        <w:t>epiv_ev0_DN15_DN50_</w:t>
      </w:r>
      <w:r w:rsidR="00E90399">
        <w:rPr>
          <w:rFonts w:cstheme="minorHAnsi"/>
          <w:sz w:val="12"/>
          <w:szCs w:val="12"/>
        </w:rPr>
        <w:t>2</w:t>
      </w:r>
      <w:r w:rsidR="00927CEB" w:rsidRPr="00927CEB">
        <w:rPr>
          <w:rFonts w:cstheme="minorHAnsi"/>
          <w:sz w:val="12"/>
          <w:szCs w:val="12"/>
        </w:rPr>
        <w:t>_vias</w:t>
      </w:r>
      <w:r w:rsidRPr="00350C11">
        <w:rPr>
          <w:rFonts w:cstheme="minorHAnsi"/>
          <w:sz w:val="12"/>
          <w:szCs w:val="12"/>
        </w:rPr>
        <w:t>.docx</w:t>
      </w:r>
    </w:p>
    <w:sectPr w:rsidR="00DE10F4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8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B4A0C"/>
    <w:rsid w:val="001E7997"/>
    <w:rsid w:val="001F3A1D"/>
    <w:rsid w:val="00202E34"/>
    <w:rsid w:val="00221CF1"/>
    <w:rsid w:val="00222FCA"/>
    <w:rsid w:val="0024231E"/>
    <w:rsid w:val="00265F26"/>
    <w:rsid w:val="0027342B"/>
    <w:rsid w:val="00290D09"/>
    <w:rsid w:val="002D06D7"/>
    <w:rsid w:val="002F1DD3"/>
    <w:rsid w:val="002F680E"/>
    <w:rsid w:val="002F6E06"/>
    <w:rsid w:val="00306B3A"/>
    <w:rsid w:val="00350C11"/>
    <w:rsid w:val="0035775F"/>
    <w:rsid w:val="00393498"/>
    <w:rsid w:val="003A480F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037F0"/>
    <w:rsid w:val="00611F72"/>
    <w:rsid w:val="006305B5"/>
    <w:rsid w:val="00652982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885277"/>
    <w:rsid w:val="008B185A"/>
    <w:rsid w:val="008E1C41"/>
    <w:rsid w:val="008F2FCA"/>
    <w:rsid w:val="00927CEB"/>
    <w:rsid w:val="009845A7"/>
    <w:rsid w:val="0099670E"/>
    <w:rsid w:val="009C3571"/>
    <w:rsid w:val="009E4A8E"/>
    <w:rsid w:val="00A078D6"/>
    <w:rsid w:val="00A9287D"/>
    <w:rsid w:val="00AE6201"/>
    <w:rsid w:val="00B07AA1"/>
    <w:rsid w:val="00B10019"/>
    <w:rsid w:val="00B42024"/>
    <w:rsid w:val="00B722B7"/>
    <w:rsid w:val="00B73304"/>
    <w:rsid w:val="00B96C4D"/>
    <w:rsid w:val="00C41D0D"/>
    <w:rsid w:val="00C623D5"/>
    <w:rsid w:val="00CB58D0"/>
    <w:rsid w:val="00CE44EF"/>
    <w:rsid w:val="00CF77AB"/>
    <w:rsid w:val="00D03C0C"/>
    <w:rsid w:val="00D32211"/>
    <w:rsid w:val="00D46A48"/>
    <w:rsid w:val="00D85DF1"/>
    <w:rsid w:val="00D918BE"/>
    <w:rsid w:val="00DC18E0"/>
    <w:rsid w:val="00DD1B0A"/>
    <w:rsid w:val="00DD4426"/>
    <w:rsid w:val="00E53439"/>
    <w:rsid w:val="00E77DD3"/>
    <w:rsid w:val="00E90399"/>
    <w:rsid w:val="00EB414E"/>
    <w:rsid w:val="00F01F96"/>
    <w:rsid w:val="00F3525F"/>
    <w:rsid w:val="00F7484B"/>
    <w:rsid w:val="00F77ACA"/>
    <w:rsid w:val="00F93C0F"/>
    <w:rsid w:val="00F94EA7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2023-06-23T09:23:00Z</dcterms:created>
  <dcterms:modified xsi:type="dcterms:W3CDTF">2023-06-23T09:23:00Z</dcterms:modified>
</cp:coreProperties>
</file>