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bookmarkStart w:id="0" w:name="_Hlk123886393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D735B4" w:rsidRPr="0017135D" w:rsidRDefault="00D735B4" w:rsidP="00D735B4">
      <w:pPr>
        <w:spacing w:after="100" w:line="220" w:lineRule="exact"/>
        <w:outlineLvl w:val="0"/>
        <w:rPr>
          <w:rFonts w:cstheme="minorHAnsi"/>
          <w:b/>
          <w:color w:val="000000"/>
          <w:sz w:val="28"/>
          <w:szCs w:val="28"/>
        </w:rPr>
      </w:pPr>
      <w:bookmarkStart w:id="1" w:name="_Hlk123831501"/>
      <w:r w:rsidRPr="0017135D">
        <w:rPr>
          <w:rFonts w:cstheme="minorHAnsi"/>
          <w:b/>
          <w:color w:val="000000"/>
          <w:sz w:val="28"/>
          <w:szCs w:val="28"/>
        </w:rPr>
        <w:t>Regulador de caudal do ar dinâmico</w:t>
      </w:r>
    </w:p>
    <w:p w:rsidR="00D735B4" w:rsidRDefault="00D735B4" w:rsidP="00D735B4">
      <w:pPr>
        <w:tabs>
          <w:tab w:val="left" w:pos="9540"/>
        </w:tabs>
        <w:spacing w:after="100" w:line="220" w:lineRule="exact"/>
        <w:rPr>
          <w:rFonts w:ascii="Arial" w:hAnsi="Arial" w:cs="Arial"/>
          <w:b/>
          <w:color w:val="000000"/>
        </w:rPr>
      </w:pPr>
      <w:r w:rsidRPr="0017135D">
        <w:rPr>
          <w:rFonts w:cstheme="minorHAnsi"/>
          <w:b/>
        </w:rPr>
        <w:t>Descrição</w:t>
      </w:r>
    </w:p>
    <w:p w:rsidR="00D735B4" w:rsidRPr="0017135D" w:rsidRDefault="00D735B4" w:rsidP="00D735B4">
      <w:pPr>
        <w:spacing w:after="100" w:line="22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Regulador de caudal de ar </w:t>
      </w:r>
      <w:r w:rsidRPr="0017135D">
        <w:rPr>
          <w:rFonts w:cstheme="minorHAnsi"/>
          <w:color w:val="595959" w:themeColor="text1" w:themeTint="A6"/>
          <w:sz w:val="18"/>
          <w:szCs w:val="18"/>
        </w:rPr>
        <w:t>retangular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independente da pressão próprio tanto para sistemas de caudal de ar constante (CAV) como variável (VAV) a baixa e média velocidade (1,3 a 13 m/s) aplicável quer na insuflação quer na </w:t>
      </w:r>
      <w:r w:rsidRPr="0017135D">
        <w:rPr>
          <w:rFonts w:cstheme="minorHAnsi"/>
          <w:color w:val="595959" w:themeColor="text1" w:themeTint="A6"/>
          <w:sz w:val="18"/>
          <w:szCs w:val="18"/>
        </w:rPr>
        <w:t>extração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do ar de instalações de ventilação ou ar-condicionado centralizadas de conforto.</w:t>
      </w:r>
    </w:p>
    <w:p w:rsidR="00D735B4" w:rsidRPr="0017135D" w:rsidRDefault="00D735B4" w:rsidP="00D735B4">
      <w:pPr>
        <w:spacing w:after="100" w:line="22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É constituído por um corpo retangular incluindo um sensor de medição de velocidade – uma ou mais tubos transversais perfurados – uma ou mais lâminas basculantes com eixo longitudinal comandadas por </w:t>
      </w:r>
      <w:r w:rsidRPr="0017135D">
        <w:rPr>
          <w:rFonts w:cstheme="minorHAnsi"/>
          <w:color w:val="595959" w:themeColor="text1" w:themeTint="A6"/>
          <w:sz w:val="18"/>
          <w:szCs w:val="18"/>
        </w:rPr>
        <w:t>atuador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17135D">
        <w:rPr>
          <w:rFonts w:cstheme="minorHAnsi"/>
          <w:color w:val="595959" w:themeColor="text1" w:themeTint="A6"/>
          <w:sz w:val="18"/>
          <w:szCs w:val="18"/>
        </w:rPr>
        <w:t>elétrico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exterior. Este </w:t>
      </w:r>
      <w:r w:rsidRPr="0017135D">
        <w:rPr>
          <w:rFonts w:cstheme="minorHAnsi"/>
          <w:color w:val="595959" w:themeColor="text1" w:themeTint="A6"/>
          <w:sz w:val="18"/>
          <w:szCs w:val="18"/>
        </w:rPr>
        <w:t>atuador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inclui um sensor/controlador de velocidade permitindo um fácil ajuste da gama de variação do caudal (através de 2 potenciómetros situados na tampa do mesmo) sem recurso a instrumentos de medida. </w:t>
      </w:r>
    </w:p>
    <w:p w:rsidR="00D735B4" w:rsidRPr="0017135D" w:rsidRDefault="00D735B4" w:rsidP="00D735B4">
      <w:pPr>
        <w:spacing w:after="100" w:line="22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Com um sinal analógico de 0-10V </w:t>
      </w:r>
      <w:r w:rsidR="00110761">
        <w:rPr>
          <w:rFonts w:cstheme="minorHAnsi"/>
          <w:color w:val="595959" w:themeColor="text1" w:themeTint="A6"/>
          <w:sz w:val="18"/>
          <w:szCs w:val="18"/>
        </w:rPr>
        <w:t>CC</w:t>
      </w:r>
      <w:bookmarkStart w:id="2" w:name="_GoBack"/>
      <w:bookmarkEnd w:id="2"/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proveniente por exemplo de um controlador de temperatura será possível alterar remotamente o caudal. O caudal instantâneo estará também disponível, para informação remota, num sinal de 0-10Vcc </w:t>
      </w:r>
      <w:r w:rsidRPr="0017135D">
        <w:rPr>
          <w:rFonts w:cstheme="minorHAnsi"/>
          <w:color w:val="595959" w:themeColor="text1" w:themeTint="A6"/>
          <w:sz w:val="18"/>
          <w:szCs w:val="18"/>
        </w:rPr>
        <w:t>diretamente</w:t>
      </w: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proporcional à gama total de leitura da velocidade de cada tamanho de regulador. </w:t>
      </w:r>
    </w:p>
    <w:p w:rsidR="00D735B4" w:rsidRDefault="00D735B4" w:rsidP="00D735B4">
      <w:pPr>
        <w:spacing w:after="100" w:line="220" w:lineRule="exact"/>
        <w:jc w:val="both"/>
        <w:rPr>
          <w:rFonts w:ascii="Arial" w:hAnsi="Arial" w:cs="Arial"/>
          <w:b/>
          <w:color w:val="000000"/>
        </w:rPr>
      </w:pPr>
    </w:p>
    <w:p w:rsidR="00D735B4" w:rsidRPr="006F7429" w:rsidRDefault="00110761" w:rsidP="00D735B4">
      <w:pPr>
        <w:spacing w:after="100" w:line="220" w:lineRule="exact"/>
        <w:jc w:val="both"/>
        <w:rPr>
          <w:rFonts w:ascii="Arial" w:hAnsi="Arial" w:cs="Arial"/>
          <w:b/>
          <w:color w:val="000000"/>
        </w:rPr>
      </w:pPr>
      <w:r>
        <w:rPr>
          <w:rFonts w:cstheme="minorHAnsi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5715</wp:posOffset>
            </wp:positionV>
            <wp:extent cx="1357630" cy="813435"/>
            <wp:effectExtent l="0" t="0" r="0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vj_eas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B4" w:rsidRPr="0017135D">
        <w:rPr>
          <w:rFonts w:cstheme="minorHAnsi"/>
          <w:b/>
        </w:rPr>
        <w:t>Características</w:t>
      </w:r>
      <w:r w:rsidR="00D735B4">
        <w:rPr>
          <w:rFonts w:cstheme="minorHAnsi"/>
          <w:b/>
        </w:rPr>
        <w:t xml:space="preserve"> técnicas principais</w:t>
      </w:r>
      <w:r w:rsidR="00D735B4" w:rsidRPr="006F7429">
        <w:rPr>
          <w:rFonts w:ascii="Arial" w:hAnsi="Arial" w:cs="Arial"/>
          <w:b/>
          <w:color w:val="000000"/>
        </w:rPr>
        <w:t xml:space="preserve"> 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Gama de pressão diferencial de trabalho: 20 a 1000 Pa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Gama de ajuste de caudal relação: 10:1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Gama de caudais de ar: 130 a 37638 m3/h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Precisão de leitura e controlo: 5% do caudal ajustado.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Estanquidade da caixa: de acordo com a norma DIN EN 1751, classe A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Gama de temperatura de trabalho: 10 a 50ºC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Fuga através da lâmina completamente fechada: classe 1 segundo norma DIN EN 1751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Pode funcionar em qualquer posição.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É livre de manutenção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Possui um led informativo das três situações seguintes:</w:t>
      </w:r>
      <w:r w:rsidRPr="0017135D">
        <w:rPr>
          <w:rFonts w:cstheme="minorHAnsi"/>
          <w:color w:val="595959" w:themeColor="text1" w:themeTint="A6"/>
          <w:sz w:val="18"/>
          <w:szCs w:val="18"/>
        </w:rPr>
        <w:br/>
        <w:t>- Falha na alimentação</w:t>
      </w:r>
      <w:r w:rsidRPr="0017135D">
        <w:rPr>
          <w:rFonts w:cstheme="minorHAnsi"/>
          <w:color w:val="595959" w:themeColor="text1" w:themeTint="A6"/>
          <w:sz w:val="18"/>
          <w:szCs w:val="18"/>
        </w:rPr>
        <w:br/>
        <w:t>- Caudal não atingido (falta de pressão)</w:t>
      </w:r>
      <w:r w:rsidRPr="0017135D">
        <w:rPr>
          <w:rFonts w:cstheme="minorHAnsi"/>
          <w:color w:val="595959" w:themeColor="text1" w:themeTint="A6"/>
          <w:sz w:val="18"/>
          <w:szCs w:val="18"/>
        </w:rPr>
        <w:br/>
        <w:t>- Caudal atingido de acordo com o valor ajustado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Fazendo uso de contactos secos exteriores é possível forçar determinados regimes de funcionamento: regulador fechado, aberto e comutação de caudal (máximo e mínimo).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</w:p>
    <w:p w:rsidR="00D735B4" w:rsidRPr="0017135D" w:rsidRDefault="00D735B4" w:rsidP="00D735B4">
      <w:pPr>
        <w:spacing w:after="100" w:line="220" w:lineRule="exact"/>
        <w:jc w:val="both"/>
        <w:rPr>
          <w:rFonts w:cstheme="minorHAnsi"/>
          <w:b/>
          <w:color w:val="000000"/>
        </w:rPr>
      </w:pPr>
      <w:r w:rsidRPr="0017135D">
        <w:rPr>
          <w:rFonts w:cstheme="minorHAnsi"/>
          <w:b/>
          <w:color w:val="000000"/>
        </w:rPr>
        <w:t>Materiais construtivos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Corpo e lâmina(s): chapa de aço galvanizada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Tubos sensores de pressão: alumínio </w:t>
      </w:r>
      <w:proofErr w:type="spellStart"/>
      <w:r w:rsidRPr="0017135D">
        <w:rPr>
          <w:rFonts w:cstheme="minorHAnsi"/>
          <w:color w:val="595959" w:themeColor="text1" w:themeTint="A6"/>
          <w:sz w:val="18"/>
          <w:szCs w:val="18"/>
        </w:rPr>
        <w:t>extrudido</w:t>
      </w:r>
      <w:proofErr w:type="spellEnd"/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>Chumaceiras: poliuretano</w:t>
      </w: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Rodas dentadas: plástico </w:t>
      </w:r>
      <w:proofErr w:type="spellStart"/>
      <w:r w:rsidRPr="0017135D">
        <w:rPr>
          <w:rFonts w:cstheme="minorHAnsi"/>
          <w:color w:val="595959" w:themeColor="text1" w:themeTint="A6"/>
          <w:sz w:val="18"/>
          <w:szCs w:val="18"/>
        </w:rPr>
        <w:t>anti-estático</w:t>
      </w:r>
      <w:proofErr w:type="spellEnd"/>
      <w:r w:rsidRPr="0017135D">
        <w:rPr>
          <w:rFonts w:cstheme="minorHAnsi"/>
          <w:color w:val="595959" w:themeColor="text1" w:themeTint="A6"/>
          <w:sz w:val="18"/>
          <w:szCs w:val="18"/>
        </w:rPr>
        <w:t xml:space="preserve"> (ABS)</w:t>
      </w:r>
    </w:p>
    <w:p w:rsidR="00D735B4" w:rsidRPr="00AA4F66" w:rsidRDefault="00D735B4" w:rsidP="00D735B4">
      <w:pPr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7F7F7F"/>
          <w:sz w:val="18"/>
          <w:szCs w:val="18"/>
        </w:rPr>
      </w:pPr>
      <w:r w:rsidRPr="0017135D">
        <w:rPr>
          <w:rFonts w:cstheme="minorHAnsi"/>
          <w:b/>
          <w:color w:val="7F7F7F"/>
          <w:sz w:val="18"/>
          <w:szCs w:val="18"/>
        </w:rPr>
        <w:t>Marca de referência</w:t>
      </w:r>
      <w:r w:rsidRPr="0017135D">
        <w:rPr>
          <w:rFonts w:cstheme="minorHAnsi"/>
          <w:color w:val="7F7F7F"/>
          <w:sz w:val="18"/>
          <w:szCs w:val="18"/>
        </w:rPr>
        <w:tab/>
        <w:t xml:space="preserve"> </w:t>
      </w:r>
      <w:proofErr w:type="spellStart"/>
      <w:r>
        <w:rPr>
          <w:rFonts w:cstheme="minorHAnsi"/>
          <w:b/>
          <w:color w:val="7F7F7F"/>
          <w:sz w:val="18"/>
          <w:szCs w:val="18"/>
        </w:rPr>
        <w:t>Trox</w:t>
      </w:r>
      <w:proofErr w:type="spellEnd"/>
    </w:p>
    <w:p w:rsidR="00D735B4" w:rsidRPr="0017135D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7F7F7F"/>
          <w:sz w:val="18"/>
          <w:szCs w:val="18"/>
        </w:rPr>
      </w:pPr>
      <w:r w:rsidRPr="0017135D">
        <w:rPr>
          <w:rFonts w:cstheme="minorHAnsi"/>
          <w:b/>
          <w:color w:val="7F7F7F"/>
          <w:sz w:val="18"/>
          <w:szCs w:val="18"/>
        </w:rPr>
        <w:t>Distribuidor</w:t>
      </w:r>
      <w:r w:rsidRPr="0017135D">
        <w:rPr>
          <w:rFonts w:cstheme="minorHAnsi"/>
          <w:color w:val="7F7F7F"/>
          <w:sz w:val="18"/>
          <w:szCs w:val="18"/>
        </w:rPr>
        <w:tab/>
        <w:t xml:space="preserve"> </w:t>
      </w:r>
      <w:proofErr w:type="spellStart"/>
      <w:r w:rsidRPr="0017135D">
        <w:rPr>
          <w:rFonts w:cstheme="minorHAnsi"/>
          <w:b/>
          <w:color w:val="7F7F7F"/>
          <w:sz w:val="18"/>
          <w:szCs w:val="18"/>
        </w:rPr>
        <w:t>Contimetra</w:t>
      </w:r>
      <w:proofErr w:type="spellEnd"/>
      <w:r w:rsidRPr="0017135D">
        <w:rPr>
          <w:rFonts w:cstheme="minorHAnsi"/>
          <w:b/>
          <w:color w:val="7F7F7F"/>
          <w:sz w:val="18"/>
          <w:szCs w:val="18"/>
        </w:rPr>
        <w:t xml:space="preserve"> / </w:t>
      </w:r>
      <w:proofErr w:type="spellStart"/>
      <w:r w:rsidRPr="0017135D">
        <w:rPr>
          <w:rFonts w:cstheme="minorHAnsi"/>
          <w:b/>
          <w:color w:val="7F7F7F"/>
          <w:sz w:val="18"/>
          <w:szCs w:val="18"/>
        </w:rPr>
        <w:t>Sistimetra</w:t>
      </w:r>
      <w:proofErr w:type="spellEnd"/>
    </w:p>
    <w:p w:rsidR="00D735B4" w:rsidRPr="005A0A62" w:rsidRDefault="00D735B4" w:rsidP="00D735B4">
      <w:pPr>
        <w:tabs>
          <w:tab w:val="left" w:leader="dot" w:pos="3686"/>
        </w:tabs>
        <w:spacing w:after="100" w:line="220" w:lineRule="exact"/>
        <w:rPr>
          <w:rFonts w:cstheme="minorHAnsi"/>
          <w:color w:val="7F7F7F"/>
          <w:u w:val="single"/>
        </w:rPr>
      </w:pPr>
      <w:r w:rsidRPr="005A0A62">
        <w:rPr>
          <w:rFonts w:cstheme="minorHAnsi"/>
          <w:b/>
          <w:color w:val="7F7F7F"/>
          <w:sz w:val="18"/>
          <w:szCs w:val="18"/>
        </w:rPr>
        <w:t>Modelo</w:t>
      </w:r>
      <w:r w:rsidRPr="005A0A62">
        <w:rPr>
          <w:rFonts w:cstheme="minorHAnsi"/>
          <w:color w:val="7F7F7F"/>
          <w:sz w:val="18"/>
          <w:szCs w:val="18"/>
        </w:rPr>
        <w:tab/>
        <w:t xml:space="preserve"> </w:t>
      </w:r>
      <w:r w:rsidRPr="005A0A62">
        <w:rPr>
          <w:rFonts w:cstheme="minorHAnsi"/>
          <w:b/>
          <w:color w:val="7F7F7F"/>
          <w:sz w:val="18"/>
          <w:szCs w:val="18"/>
        </w:rPr>
        <w:t>TVJ-E</w:t>
      </w:r>
      <w:r>
        <w:rPr>
          <w:rFonts w:cstheme="minorHAnsi"/>
          <w:b/>
          <w:color w:val="7F7F7F"/>
          <w:sz w:val="18"/>
          <w:szCs w:val="18"/>
        </w:rPr>
        <w:t>ASY</w:t>
      </w:r>
    </w:p>
    <w:p w:rsidR="00D735B4" w:rsidRPr="005A0A62" w:rsidRDefault="00D735B4" w:rsidP="00D735B4">
      <w:pPr>
        <w:tabs>
          <w:tab w:val="left" w:leader="dot" w:pos="3402"/>
        </w:tabs>
        <w:spacing w:before="120" w:after="120" w:line="276" w:lineRule="auto"/>
        <w:rPr>
          <w:rFonts w:cs="Calibri"/>
          <w:b/>
          <w:sz w:val="18"/>
          <w:szCs w:val="18"/>
        </w:rPr>
      </w:pPr>
    </w:p>
    <w:p w:rsidR="00D735B4" w:rsidRPr="005A0A62" w:rsidRDefault="00D735B4" w:rsidP="00D735B4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5A0A62">
        <w:rPr>
          <w:rFonts w:cstheme="minorHAnsi"/>
          <w:sz w:val="12"/>
          <w:szCs w:val="12"/>
        </w:rPr>
        <w:t>/</w:t>
      </w:r>
      <w:r>
        <w:rPr>
          <w:rFonts w:cstheme="minorHAnsi"/>
          <w:sz w:val="12"/>
          <w:szCs w:val="12"/>
        </w:rPr>
        <w:t>reguladores</w:t>
      </w:r>
      <w:r w:rsidRPr="005A0A62">
        <w:rPr>
          <w:rFonts w:cstheme="minorHAnsi"/>
          <w:sz w:val="12"/>
          <w:szCs w:val="12"/>
        </w:rPr>
        <w:t>/</w:t>
      </w:r>
      <w:r>
        <w:rPr>
          <w:rFonts w:cstheme="minorHAnsi"/>
          <w:sz w:val="12"/>
          <w:szCs w:val="12"/>
        </w:rPr>
        <w:t>TVJ-EASY</w:t>
      </w:r>
      <w:r w:rsidRPr="005A0A62">
        <w:rPr>
          <w:rFonts w:cstheme="minorHAnsi"/>
          <w:sz w:val="12"/>
          <w:szCs w:val="12"/>
        </w:rPr>
        <w:t>.docx</w:t>
      </w:r>
      <w:bookmarkEnd w:id="1"/>
    </w:p>
    <w:sectPr w:rsidR="00D735B4" w:rsidRPr="005A0A62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C7" w:rsidRDefault="00DA59C7" w:rsidP="003A480F">
      <w:pPr>
        <w:spacing w:after="0" w:line="240" w:lineRule="auto"/>
      </w:pPr>
      <w:r>
        <w:separator/>
      </w:r>
    </w:p>
  </w:endnote>
  <w:end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C7" w:rsidRDefault="00DA59C7" w:rsidP="003A480F">
      <w:pPr>
        <w:spacing w:after="0" w:line="240" w:lineRule="auto"/>
      </w:pPr>
      <w:r>
        <w:separator/>
      </w:r>
    </w:p>
  </w:footnote>
  <w:foot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0761"/>
    <w:rsid w:val="00113ED9"/>
    <w:rsid w:val="00114D17"/>
    <w:rsid w:val="001250CD"/>
    <w:rsid w:val="0014736B"/>
    <w:rsid w:val="001617C2"/>
    <w:rsid w:val="001A65EF"/>
    <w:rsid w:val="001E7997"/>
    <w:rsid w:val="001F3A1D"/>
    <w:rsid w:val="00202476"/>
    <w:rsid w:val="00202E34"/>
    <w:rsid w:val="00221CF1"/>
    <w:rsid w:val="0024231E"/>
    <w:rsid w:val="00245809"/>
    <w:rsid w:val="00265F26"/>
    <w:rsid w:val="0027342B"/>
    <w:rsid w:val="00290D09"/>
    <w:rsid w:val="002D06D7"/>
    <w:rsid w:val="002F1DD3"/>
    <w:rsid w:val="002F6E06"/>
    <w:rsid w:val="00306B3A"/>
    <w:rsid w:val="00350C11"/>
    <w:rsid w:val="0035775F"/>
    <w:rsid w:val="00393498"/>
    <w:rsid w:val="003A480F"/>
    <w:rsid w:val="003C7D09"/>
    <w:rsid w:val="003F1FB7"/>
    <w:rsid w:val="004632C0"/>
    <w:rsid w:val="00480D0A"/>
    <w:rsid w:val="004B7FB0"/>
    <w:rsid w:val="004E11B1"/>
    <w:rsid w:val="0054131B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E3293"/>
    <w:rsid w:val="008F2FCA"/>
    <w:rsid w:val="0099670E"/>
    <w:rsid w:val="009C3571"/>
    <w:rsid w:val="009E4A8E"/>
    <w:rsid w:val="00A078D6"/>
    <w:rsid w:val="00A9287D"/>
    <w:rsid w:val="00AE6201"/>
    <w:rsid w:val="00B03528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F77AB"/>
    <w:rsid w:val="00D03C0C"/>
    <w:rsid w:val="00D32211"/>
    <w:rsid w:val="00D46A48"/>
    <w:rsid w:val="00D735B4"/>
    <w:rsid w:val="00D85DF1"/>
    <w:rsid w:val="00D918BE"/>
    <w:rsid w:val="00DA59C7"/>
    <w:rsid w:val="00DC18E0"/>
    <w:rsid w:val="00DD4426"/>
    <w:rsid w:val="00E04C33"/>
    <w:rsid w:val="00EB414E"/>
    <w:rsid w:val="00EE1D5E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EE6D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3C7B-0964-449B-A8EE-7F4B22C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2023-01-06T08:34:00Z</dcterms:created>
  <dcterms:modified xsi:type="dcterms:W3CDTF">2023-01-06T08:34:00Z</dcterms:modified>
</cp:coreProperties>
</file>