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7C6B" w14:textId="77777777" w:rsidR="001E7997" w:rsidRDefault="00622CE9" w:rsidP="00885277">
      <w:pPr>
        <w:spacing w:before="120" w:after="120" w:line="276" w:lineRule="auto"/>
        <w:ind w:left="-1701"/>
      </w:pPr>
      <w:r>
        <w:rPr>
          <w:noProof/>
        </w:rPr>
        <w:pict w14:anchorId="445A7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1EEC129A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61926FFD" w14:textId="77777777" w:rsidR="004F7DE5" w:rsidRPr="004F7DE5" w:rsidRDefault="004F7DE5" w:rsidP="004F7DE5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4F7DE5">
        <w:rPr>
          <w:rFonts w:cs="Calibri"/>
          <w:b/>
          <w:color w:val="000000"/>
          <w:sz w:val="28"/>
          <w:szCs w:val="28"/>
        </w:rPr>
        <w:t>Registos corta-fogo redondos – Térmicos</w:t>
      </w:r>
    </w:p>
    <w:p w14:paraId="49DF3924" w14:textId="77777777" w:rsidR="004F7DE5" w:rsidRPr="004F7DE5" w:rsidRDefault="004F7DE5" w:rsidP="004F7DE5">
      <w:pPr>
        <w:spacing w:after="100" w:line="280" w:lineRule="exact"/>
        <w:jc w:val="both"/>
        <w:rPr>
          <w:rFonts w:cs="Calibri"/>
          <w:b/>
          <w:color w:val="000000"/>
        </w:rPr>
      </w:pPr>
      <w:r w:rsidRPr="004F7DE5">
        <w:rPr>
          <w:rFonts w:cs="Calibri"/>
          <w:b/>
          <w:color w:val="000000"/>
        </w:rPr>
        <w:t xml:space="preserve">Dimensões DN 315 a DN 800 </w:t>
      </w:r>
    </w:p>
    <w:p w14:paraId="139FFA10" w14:textId="77777777" w:rsidR="004F7DE5" w:rsidRDefault="004F7DE5" w:rsidP="004F7DE5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B49056F" w14:textId="77777777" w:rsidR="004F7DE5" w:rsidRPr="004F7DE5" w:rsidRDefault="004F7DE5" w:rsidP="004F7DE5">
      <w:pPr>
        <w:spacing w:after="120" w:line="260" w:lineRule="exact"/>
        <w:rPr>
          <w:b/>
          <w:color w:val="000000"/>
        </w:rPr>
      </w:pPr>
      <w:r w:rsidRPr="004F7DE5">
        <w:rPr>
          <w:b/>
          <w:color w:val="000000"/>
        </w:rPr>
        <w:t>Descrição</w:t>
      </w:r>
    </w:p>
    <w:p w14:paraId="3B627A6C" w14:textId="77777777" w:rsidR="004F7DE5" w:rsidRPr="004F7DE5" w:rsidRDefault="004F7DE5" w:rsidP="004F7DE5">
      <w:pPr>
        <w:spacing w:after="120" w:line="260" w:lineRule="exact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Registos corta-fogo do tipo </w:t>
      </w:r>
      <w:proofErr w:type="spellStart"/>
      <w:r w:rsidRPr="004F7DE5">
        <w:rPr>
          <w:color w:val="595959"/>
          <w:sz w:val="18"/>
          <w:szCs w:val="18"/>
        </w:rPr>
        <w:t>unilâmina</w:t>
      </w:r>
      <w:proofErr w:type="spellEnd"/>
      <w:r w:rsidRPr="004F7DE5">
        <w:rPr>
          <w:color w:val="595959"/>
          <w:sz w:val="18"/>
          <w:szCs w:val="18"/>
        </w:rPr>
        <w:t xml:space="preserve"> - sem batente, com área útil de passagem maximizada - a instalar nos locais assinalados nos desenhos, destinados ao fecho no caso de incêndio nas instalações de AVAC, de modo a constituírem uma barreira perfeita à propagação de fumo frio e quente e ao fogo.</w:t>
      </w:r>
    </w:p>
    <w:p w14:paraId="4BFF47E4" w14:textId="77777777" w:rsidR="004F7DE5" w:rsidRPr="004F7DE5" w:rsidRDefault="004F7DE5" w:rsidP="004F7DE5">
      <w:pPr>
        <w:spacing w:after="120" w:line="260" w:lineRule="exact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Serão adequados para montagem em paredes e tetos maciços, paredes divisórias leves e paredes corta-fogo com certificação apropriada, à base de argamassa, independentemente da sua posição de montagem e do sentido de passagem do ar. O fusível térmico pode ser removido para inspeção ou substituição pelo lado exterior.</w:t>
      </w:r>
    </w:p>
    <w:p w14:paraId="1B75DAAF" w14:textId="77777777" w:rsidR="004F7DE5" w:rsidRPr="004F7DE5" w:rsidRDefault="004F7DE5" w:rsidP="004F7DE5">
      <w:pPr>
        <w:spacing w:after="120" w:line="260" w:lineRule="exact"/>
        <w:rPr>
          <w:color w:val="595959"/>
          <w:sz w:val="18"/>
          <w:szCs w:val="18"/>
        </w:rPr>
      </w:pPr>
    </w:p>
    <w:p w14:paraId="59FC6E83" w14:textId="77777777" w:rsidR="00926E1E" w:rsidRDefault="00926E1E" w:rsidP="00926E1E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44286C55" w14:textId="77777777" w:rsidR="00926E1E" w:rsidRPr="003B6E22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5DD0E36D" w14:textId="77777777" w:rsidR="00926E1E" w:rsidRPr="003B6E22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31B1B1AD" w14:textId="77777777" w:rsidR="00926E1E" w:rsidRPr="003B6E22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>) – em Português</w:t>
      </w:r>
    </w:p>
    <w:p w14:paraId="08FA14F7" w14:textId="77777777" w:rsidR="00926E1E" w:rsidRPr="003B6E22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7D02F668" w14:textId="77777777" w:rsidR="00926E1E" w:rsidRPr="003B6E22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75B3FA33" w14:textId="77777777" w:rsidR="00926E1E" w:rsidRPr="00995778" w:rsidRDefault="00926E1E" w:rsidP="00926E1E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79A9A70F" w14:textId="77777777" w:rsidR="004F7DE5" w:rsidRPr="00977899" w:rsidRDefault="004F7DE5" w:rsidP="004F7DE5">
      <w:pPr>
        <w:spacing w:after="100" w:line="280" w:lineRule="exact"/>
        <w:jc w:val="both"/>
        <w:rPr>
          <w:rFonts w:ascii="Arial" w:hAnsi="Arial" w:cs="Arial"/>
          <w:color w:val="000000"/>
        </w:rPr>
      </w:pPr>
    </w:p>
    <w:p w14:paraId="7C7AEFBE" w14:textId="26E99B52" w:rsidR="004F7DE5" w:rsidRPr="004F7DE5" w:rsidRDefault="004F7DE5" w:rsidP="004F7DE5">
      <w:pPr>
        <w:spacing w:after="120" w:line="260" w:lineRule="exact"/>
        <w:rPr>
          <w:b/>
          <w:color w:val="000000"/>
        </w:rPr>
      </w:pPr>
      <w:r w:rsidRPr="004F7DE5">
        <w:rPr>
          <w:b/>
          <w:color w:val="000000"/>
        </w:rPr>
        <w:t xml:space="preserve">Características técnicas </w:t>
      </w:r>
    </w:p>
    <w:p w14:paraId="134C51A0" w14:textId="440A94A3" w:rsidR="004F7DE5" w:rsidRPr="00D17AE9" w:rsidRDefault="004F7DE5" w:rsidP="004F7DE5">
      <w:pPr>
        <w:spacing w:after="120" w:line="260" w:lineRule="exact"/>
        <w:rPr>
          <w:rFonts w:ascii="Arial" w:hAnsi="Arial" w:cs="Arial"/>
          <w:b/>
          <w:color w:val="000000"/>
          <w:sz w:val="20"/>
          <w:szCs w:val="20"/>
        </w:rPr>
      </w:pPr>
      <w:r w:rsidRPr="00977899">
        <w:rPr>
          <w:rFonts w:ascii="Arial" w:hAnsi="Arial" w:cs="Arial"/>
          <w:b/>
          <w:color w:val="000000"/>
          <w:sz w:val="20"/>
          <w:szCs w:val="20"/>
        </w:rPr>
        <w:br/>
      </w:r>
      <w:r w:rsidRPr="004F7DE5">
        <w:rPr>
          <w:b/>
          <w:color w:val="000000"/>
        </w:rPr>
        <w:t>Corpo do registo</w:t>
      </w:r>
    </w:p>
    <w:p w14:paraId="71E41581" w14:textId="7404AA7B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O corpo será em chapa de aço galvanizada qualidade </w:t>
      </w:r>
      <w:proofErr w:type="spellStart"/>
      <w:r w:rsidRPr="004F7DE5">
        <w:rPr>
          <w:color w:val="595959"/>
          <w:sz w:val="18"/>
          <w:szCs w:val="18"/>
        </w:rPr>
        <w:t>St02Z</w:t>
      </w:r>
      <w:proofErr w:type="spellEnd"/>
      <w:r w:rsidRPr="004F7DE5">
        <w:rPr>
          <w:color w:val="595959"/>
          <w:sz w:val="18"/>
          <w:szCs w:val="18"/>
        </w:rPr>
        <w:t>, segundo DIN 17162 de formato circular. Braços e acessórios zincados.</w:t>
      </w:r>
    </w:p>
    <w:p w14:paraId="5619E069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Estanquidade da caixa de acordo com a norma EN 1751, classe C.</w:t>
      </w:r>
    </w:p>
    <w:p w14:paraId="39C30160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Deve incluir juntas de vedação para ligação rápida e eficaz a tubo </w:t>
      </w:r>
      <w:proofErr w:type="spellStart"/>
      <w:r w:rsidRPr="004F7DE5">
        <w:rPr>
          <w:color w:val="595959"/>
          <w:sz w:val="18"/>
          <w:szCs w:val="18"/>
        </w:rPr>
        <w:t>spiro</w:t>
      </w:r>
      <w:proofErr w:type="spellEnd"/>
      <w:r w:rsidRPr="004F7DE5">
        <w:rPr>
          <w:color w:val="595959"/>
          <w:sz w:val="18"/>
          <w:szCs w:val="18"/>
        </w:rPr>
        <w:t xml:space="preserve"> de acordo com norma </w:t>
      </w:r>
      <w:r w:rsidRPr="004F7DE5">
        <w:rPr>
          <w:color w:val="595959"/>
          <w:sz w:val="18"/>
          <w:szCs w:val="18"/>
        </w:rPr>
        <w:br/>
        <w:t>EN 1506 ou EN 13180.</w:t>
      </w:r>
    </w:p>
    <w:p w14:paraId="09188291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Lâmina de fecho basculante em material isolante térmico especial com vedante perimetral em </w:t>
      </w:r>
      <w:proofErr w:type="spellStart"/>
      <w:r w:rsidRPr="004F7DE5">
        <w:rPr>
          <w:color w:val="595959"/>
          <w:sz w:val="18"/>
          <w:szCs w:val="18"/>
        </w:rPr>
        <w:t>neoprene</w:t>
      </w:r>
      <w:proofErr w:type="spellEnd"/>
      <w:r w:rsidRPr="004F7DE5">
        <w:rPr>
          <w:color w:val="595959"/>
          <w:sz w:val="18"/>
          <w:szCs w:val="18"/>
        </w:rPr>
        <w:t>.</w:t>
      </w:r>
    </w:p>
    <w:p w14:paraId="0C559B1E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Tamanhos nominais: DN 315, 355, 400, 450, 500, 560, 630, 710 e 800.</w:t>
      </w:r>
    </w:p>
    <w:p w14:paraId="4B2C8858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Grande área de passagem livre e por consequência, baixa perda de carga.</w:t>
      </w:r>
    </w:p>
    <w:p w14:paraId="06776586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Estanquidade à passagem de ar com o registo fechado, s/ EN 1751, classe 4.</w:t>
      </w:r>
    </w:p>
    <w:p w14:paraId="2D7E7915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Classe de resistência ao fogo até EI-120 ou EI-90  (</w:t>
      </w:r>
      <w:proofErr w:type="spellStart"/>
      <w:r w:rsidRPr="004F7DE5">
        <w:rPr>
          <w:color w:val="595959"/>
          <w:sz w:val="18"/>
          <w:szCs w:val="18"/>
        </w:rPr>
        <w:t>ve</w:t>
      </w:r>
      <w:proofErr w:type="spellEnd"/>
      <w:r w:rsidRPr="004F7DE5">
        <w:rPr>
          <w:color w:val="595959"/>
          <w:sz w:val="18"/>
          <w:szCs w:val="18"/>
        </w:rPr>
        <w:t xml:space="preserve">, </w:t>
      </w:r>
      <w:proofErr w:type="spellStart"/>
      <w:r w:rsidRPr="004F7DE5">
        <w:rPr>
          <w:color w:val="595959"/>
          <w:sz w:val="18"/>
          <w:szCs w:val="18"/>
        </w:rPr>
        <w:t>ho</w:t>
      </w:r>
      <w:proofErr w:type="spellEnd"/>
      <w:r w:rsidRPr="004F7DE5">
        <w:rPr>
          <w:color w:val="595959"/>
          <w:sz w:val="18"/>
          <w:szCs w:val="18"/>
        </w:rPr>
        <w:t xml:space="preserve"> i ↔ o) S segundo a norma europeia </w:t>
      </w:r>
      <w:r w:rsidRPr="004F7DE5">
        <w:rPr>
          <w:color w:val="595959"/>
          <w:sz w:val="18"/>
          <w:szCs w:val="18"/>
        </w:rPr>
        <w:br/>
        <w:t>EN 13501-2 (dependendo do tipo de parede onde for montado). Ensaiados segundo norma EN 13501-3. (2)</w:t>
      </w:r>
    </w:p>
    <w:p w14:paraId="67F7E555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Elevada estanquidade aos fumos a alta temperatura.</w:t>
      </w:r>
    </w:p>
    <w:p w14:paraId="2C25CB64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Fecho por disparo do fusível térmico (72 </w:t>
      </w:r>
      <w:proofErr w:type="spellStart"/>
      <w:r w:rsidRPr="004F7DE5">
        <w:rPr>
          <w:color w:val="595959"/>
          <w:sz w:val="18"/>
          <w:szCs w:val="18"/>
        </w:rPr>
        <w:t>ºC</w:t>
      </w:r>
      <w:proofErr w:type="spellEnd"/>
      <w:r w:rsidRPr="004F7DE5">
        <w:rPr>
          <w:color w:val="595959"/>
          <w:sz w:val="18"/>
          <w:szCs w:val="18"/>
        </w:rPr>
        <w:t>)</w:t>
      </w:r>
    </w:p>
    <w:p w14:paraId="40F8892E" w14:textId="77777777" w:rsidR="004F7DE5" w:rsidRPr="004F7DE5" w:rsidRDefault="004F7DE5" w:rsidP="004F7DE5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O rearme será manual.</w:t>
      </w:r>
    </w:p>
    <w:p w14:paraId="19B378FD" w14:textId="77777777" w:rsidR="004F7DE5" w:rsidRDefault="004F7DE5" w:rsidP="004F7DE5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5353C22" w14:textId="77777777" w:rsidR="004F7DE5" w:rsidRPr="004F7DE5" w:rsidRDefault="004F7DE5" w:rsidP="004F7DE5">
      <w:pPr>
        <w:spacing w:after="120" w:line="260" w:lineRule="exact"/>
        <w:rPr>
          <w:b/>
          <w:color w:val="000000"/>
        </w:rPr>
      </w:pPr>
      <w:r w:rsidRPr="004F7DE5">
        <w:rPr>
          <w:b/>
          <w:color w:val="000000"/>
        </w:rPr>
        <w:t>Dimensionamento</w:t>
      </w:r>
    </w:p>
    <w:p w14:paraId="36509D00" w14:textId="77777777" w:rsidR="004F7DE5" w:rsidRPr="004F7DE5" w:rsidRDefault="004F7DE5" w:rsidP="004F7DE5">
      <w:pPr>
        <w:spacing w:after="120" w:line="260" w:lineRule="exact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>Como regra geral o registo corta-fogo deve ter a mesma dimensão nominal das condutas onde vai ser inserido. Deve no entanto confirmar-se que a perda de carga máxima não ultrapasse 50 Pa – registo aberto na condição de cauda nominal.</w:t>
      </w:r>
    </w:p>
    <w:p w14:paraId="4DA3C8C3" w14:textId="77777777" w:rsidR="004F7DE5" w:rsidRPr="004F7DE5" w:rsidRDefault="004F7DE5" w:rsidP="004F7DE5">
      <w:pPr>
        <w:spacing w:after="120" w:line="260" w:lineRule="exact"/>
        <w:rPr>
          <w:color w:val="595959"/>
          <w:sz w:val="18"/>
          <w:szCs w:val="18"/>
        </w:rPr>
      </w:pPr>
      <w:r w:rsidRPr="004F7DE5">
        <w:rPr>
          <w:color w:val="595959"/>
          <w:sz w:val="18"/>
          <w:szCs w:val="18"/>
        </w:rPr>
        <w:t xml:space="preserve">Se assim não for, deve ser considerado um registo com área </w:t>
      </w:r>
      <w:proofErr w:type="spellStart"/>
      <w:r w:rsidRPr="004F7DE5">
        <w:rPr>
          <w:color w:val="595959"/>
          <w:sz w:val="18"/>
          <w:szCs w:val="18"/>
        </w:rPr>
        <w:t>efectiva</w:t>
      </w:r>
      <w:proofErr w:type="spellEnd"/>
      <w:r w:rsidRPr="004F7DE5">
        <w:rPr>
          <w:color w:val="595959"/>
          <w:sz w:val="18"/>
          <w:szCs w:val="18"/>
        </w:rPr>
        <w:t xml:space="preserve"> superior.</w:t>
      </w:r>
    </w:p>
    <w:p w14:paraId="1F59D0C9" w14:textId="77777777" w:rsidR="004F7DE5" w:rsidRDefault="004F7DE5" w:rsidP="004F7DE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A0B2C22" w14:textId="77777777" w:rsidR="00926E1E" w:rsidRPr="009960CE" w:rsidRDefault="00926E1E" w:rsidP="00926E1E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Montagem</w:t>
      </w:r>
    </w:p>
    <w:p w14:paraId="09A8DFCF" w14:textId="3838F0AA" w:rsidR="00926E1E" w:rsidRPr="009960CE" w:rsidRDefault="00926E1E" w:rsidP="00926E1E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Português. </w:t>
      </w:r>
    </w:p>
    <w:p w14:paraId="2E9EB84E" w14:textId="77777777" w:rsidR="00926E1E" w:rsidRDefault="00926E1E" w:rsidP="00926E1E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1A115358" w14:textId="209D58BF" w:rsidR="00926E1E" w:rsidRDefault="00926E1E" w:rsidP="00926E1E">
      <w:pPr>
        <w:spacing w:after="120" w:line="260" w:lineRule="exact"/>
        <w:rPr>
          <w:b/>
          <w:color w:val="000000"/>
        </w:rPr>
      </w:pPr>
      <w:r w:rsidRPr="005A0FF0">
        <w:rPr>
          <w:b/>
          <w:color w:val="000000"/>
        </w:rPr>
        <w:t>Exemplo da montagem preconizada</w:t>
      </w:r>
    </w:p>
    <w:p w14:paraId="25B703A1" w14:textId="7B757DC0" w:rsidR="00926E1E" w:rsidRPr="008D3DD5" w:rsidRDefault="00296B71" w:rsidP="00926E1E">
      <w:pPr>
        <w:spacing w:after="120" w:line="260" w:lineRule="exact"/>
        <w:rPr>
          <w:b/>
          <w:color w:val="215E99"/>
        </w:rPr>
      </w:pPr>
      <w:r>
        <w:rPr>
          <w:noProof/>
        </w:rPr>
        <w:pict w14:anchorId="3F2F5819">
          <v:shape id="_x0000_s1031" type="#_x0000_t75" style="position:absolute;margin-left:58.3pt;margin-top:.5pt;width:370.75pt;height:204.1pt;z-index:251659264;mso-position-horizontal-relative:text;mso-position-vertical-relative:text;mso-width-relative:page;mso-height-relative:page">
            <v:imagedata r:id="rId9" o:title="fkr-eu_montagem"/>
            <w10:wrap type="topAndBottom"/>
          </v:shape>
        </w:pict>
      </w:r>
      <w:r w:rsidR="00926E1E">
        <w:rPr>
          <w:b/>
          <w:color w:val="215E99"/>
        </w:rPr>
        <w:br/>
      </w:r>
      <w:r w:rsidR="00926E1E" w:rsidRPr="008D3DD5">
        <w:rPr>
          <w:b/>
          <w:color w:val="215E99"/>
        </w:rPr>
        <w:t>Importante:</w:t>
      </w:r>
    </w:p>
    <w:p w14:paraId="7912F4DA" w14:textId="4E5515ED" w:rsidR="00926E1E" w:rsidRPr="00DD7835" w:rsidRDefault="00926E1E" w:rsidP="00926E1E">
      <w:pPr>
        <w:spacing w:after="120" w:line="240" w:lineRule="exact"/>
        <w:rPr>
          <w:color w:val="595959"/>
          <w:sz w:val="18"/>
          <w:szCs w:val="18"/>
        </w:rPr>
      </w:pPr>
      <w:r w:rsidRPr="008D3DD5">
        <w:rPr>
          <w:b/>
          <w:bCs/>
          <w:color w:val="215E99"/>
          <w:sz w:val="18"/>
          <w:szCs w:val="18"/>
        </w:rPr>
        <w:t>1 -</w:t>
      </w:r>
      <w:r>
        <w:rPr>
          <w:color w:val="595959"/>
          <w:sz w:val="18"/>
          <w:szCs w:val="18"/>
        </w:rPr>
        <w:t xml:space="preserve"> </w:t>
      </w:r>
      <w:r w:rsidRPr="00DD7835">
        <w:rPr>
          <w:color w:val="595959"/>
          <w:sz w:val="18"/>
          <w:szCs w:val="18"/>
        </w:rPr>
        <w:t>Junta de dilatação (acessório opcional). É fortemente recomendada quando o registo é inserido em conduta metálica numa parede leve (pladur, silicato de cálcio ou outro material equivalente).</w:t>
      </w:r>
    </w:p>
    <w:p w14:paraId="67484654" w14:textId="449E9916" w:rsidR="00926E1E" w:rsidRDefault="00926E1E" w:rsidP="00926E1E">
      <w:pPr>
        <w:spacing w:after="120" w:line="240" w:lineRule="exact"/>
        <w:rPr>
          <w:color w:val="595959"/>
          <w:sz w:val="18"/>
          <w:szCs w:val="18"/>
        </w:rPr>
      </w:pPr>
      <w:r w:rsidRPr="00DD7835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5ABEFD86" w14:textId="77777777" w:rsidR="00926E1E" w:rsidRDefault="00926E1E" w:rsidP="00926E1E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2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6033F1">
        <w:rPr>
          <w:color w:val="595959"/>
          <w:sz w:val="18"/>
          <w:szCs w:val="18"/>
        </w:rPr>
        <w:t>Peça de extensão para tamanhos nominais acima ou igual a DN 224, permite uma montagem rápida e eficaz do registo e assegura o basculamento livre da lâmina.</w:t>
      </w:r>
    </w:p>
    <w:p w14:paraId="46A3895C" w14:textId="77777777" w:rsidR="004F7DE5" w:rsidRDefault="004F7DE5" w:rsidP="004F7DE5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0AD97AD9" w14:textId="77777777" w:rsidR="004F7DE5" w:rsidRPr="004F7DE5" w:rsidRDefault="004F7DE5" w:rsidP="004F7DE5">
      <w:pPr>
        <w:spacing w:after="120" w:line="260" w:lineRule="exact"/>
        <w:rPr>
          <w:b/>
          <w:color w:val="000000"/>
        </w:rPr>
      </w:pPr>
      <w:r w:rsidRPr="004F7DE5">
        <w:rPr>
          <w:b/>
          <w:color w:val="000000"/>
        </w:rPr>
        <w:t>Acessórios opcionais</w:t>
      </w:r>
    </w:p>
    <w:p w14:paraId="544A83F0" w14:textId="77777777" w:rsidR="004F7DE5" w:rsidRPr="00426495" w:rsidRDefault="004F7DE5" w:rsidP="004F7DE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4F7DE5">
        <w:rPr>
          <w:color w:val="595959"/>
          <w:sz w:val="18"/>
          <w:szCs w:val="18"/>
        </w:rPr>
        <w:t>Interruptor auxiliar de fim-de-curso para indicação remota de registo fechado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9B4755D" w14:textId="77777777" w:rsidR="004F7DE5" w:rsidRDefault="004F7DE5" w:rsidP="004F7DE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B074F32" w14:textId="77777777" w:rsidR="004F7DE5" w:rsidRPr="004F7DE5" w:rsidRDefault="004F7DE5" w:rsidP="004F7DE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F7DE5">
        <w:rPr>
          <w:rFonts w:cs="Calibri"/>
          <w:b/>
          <w:color w:val="595959"/>
          <w:sz w:val="18"/>
          <w:szCs w:val="18"/>
        </w:rPr>
        <w:t>Marca de referência</w:t>
      </w:r>
      <w:r w:rsidRPr="004F7DE5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4F7DE5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4F7DE5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4F7DE5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527605E8" w14:textId="77777777" w:rsidR="004F7DE5" w:rsidRPr="004F7DE5" w:rsidRDefault="004F7DE5" w:rsidP="004F7DE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F7DE5">
        <w:rPr>
          <w:rFonts w:cs="Calibri"/>
          <w:b/>
          <w:color w:val="595959"/>
          <w:sz w:val="18"/>
          <w:szCs w:val="18"/>
        </w:rPr>
        <w:t>Distribuidor</w:t>
      </w:r>
      <w:r w:rsidRPr="004F7DE5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4F7DE5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4F7DE5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4F7DE5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14CD7FD5" w14:textId="77777777" w:rsidR="004F7DE5" w:rsidRPr="004F7DE5" w:rsidRDefault="004F7DE5" w:rsidP="004F7DE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F7DE5">
        <w:rPr>
          <w:rFonts w:cs="Calibri"/>
          <w:b/>
          <w:color w:val="595959"/>
          <w:sz w:val="18"/>
          <w:szCs w:val="18"/>
        </w:rPr>
        <w:t>Modelo</w:t>
      </w:r>
      <w:r w:rsidRPr="004F7DE5">
        <w:rPr>
          <w:rFonts w:cs="Calibri"/>
          <w:b/>
          <w:color w:val="595959"/>
          <w:sz w:val="18"/>
          <w:szCs w:val="18"/>
        </w:rPr>
        <w:tab/>
        <w:t xml:space="preserve"> FKR-EU</w:t>
      </w:r>
    </w:p>
    <w:p w14:paraId="744CE0D6" w14:textId="7CA99160" w:rsidR="001E7997" w:rsidRPr="00622CE9" w:rsidRDefault="00F10118" w:rsidP="00622CE9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FD6576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FD6576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FD6576">
        <w:rPr>
          <w:rFonts w:ascii="Calibri Light" w:hAnsi="Calibri Light" w:cs="Calibri Light"/>
          <w:sz w:val="12"/>
          <w:szCs w:val="12"/>
        </w:rPr>
        <w:t>/FKR-EU_</w:t>
      </w:r>
      <w:r w:rsidR="004F7DE5">
        <w:rPr>
          <w:rFonts w:ascii="Calibri Light" w:hAnsi="Calibri Light" w:cs="Calibri Light"/>
          <w:sz w:val="12"/>
          <w:szCs w:val="12"/>
        </w:rPr>
        <w:t>termico</w:t>
      </w:r>
      <w:r w:rsidRPr="00FD6576">
        <w:rPr>
          <w:rFonts w:ascii="Calibri Light" w:hAnsi="Calibri Light" w:cs="Calibri Light"/>
          <w:sz w:val="12"/>
          <w:szCs w:val="12"/>
        </w:rPr>
        <w:t>.docx</w:t>
      </w:r>
    </w:p>
    <w:sectPr w:rsidR="001E7997" w:rsidRPr="00622CE9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F87D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32438B61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4A80" w14:textId="77777777" w:rsidR="00D918BE" w:rsidRDefault="00622CE9">
    <w:pPr>
      <w:pStyle w:val="Rodap"/>
      <w:jc w:val="center"/>
    </w:pPr>
    <w:r>
      <w:rPr>
        <w:noProof/>
      </w:rPr>
      <w:pict w14:anchorId="3713BA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3362A7F9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>
      <w:rPr>
        <w:noProof/>
      </w:rPr>
      <w:pict w14:anchorId="0AE2A1B7">
        <v:shape id="Caixa de Texto 2" o:spid="_x0000_s2049" type="#_x0000_t202" style="position:absolute;left:0;text-align:left;margin-left:-30.85pt;margin-top:.25pt;width:114.85pt;height:110.6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 style="mso-fit-shape-to-text:t">
            <w:txbxContent>
              <w:p w14:paraId="207AC232" w14:textId="338C8944" w:rsidR="00114D17" w:rsidRDefault="00D918BE">
                <w:r>
                  <w:t>www.contimetra.com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2032FD39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FBD5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2E82D3FF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6A6C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306A7A24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835763">
    <w:abstractNumId w:val="2"/>
  </w:num>
  <w:num w:numId="2" w16cid:durableId="798301827">
    <w:abstractNumId w:val="1"/>
  </w:num>
  <w:num w:numId="3" w16cid:durableId="433134303">
    <w:abstractNumId w:val="4"/>
  </w:num>
  <w:num w:numId="4" w16cid:durableId="966937622">
    <w:abstractNumId w:val="5"/>
  </w:num>
  <w:num w:numId="5" w16cid:durableId="1741907880">
    <w:abstractNumId w:val="8"/>
  </w:num>
  <w:num w:numId="6" w16cid:durableId="567687466">
    <w:abstractNumId w:val="6"/>
  </w:num>
  <w:num w:numId="7" w16cid:durableId="2016762594">
    <w:abstractNumId w:val="3"/>
  </w:num>
  <w:num w:numId="8" w16cid:durableId="468060846">
    <w:abstractNumId w:val="9"/>
  </w:num>
  <w:num w:numId="9" w16cid:durableId="1326860923">
    <w:abstractNumId w:val="0"/>
  </w:num>
  <w:num w:numId="10" w16cid:durableId="1338802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96B71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F7DE5"/>
    <w:rsid w:val="005E03B3"/>
    <w:rsid w:val="005E3A81"/>
    <w:rsid w:val="0060469E"/>
    <w:rsid w:val="00622CE9"/>
    <w:rsid w:val="006305B5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40A96"/>
    <w:rsid w:val="00885277"/>
    <w:rsid w:val="008B185A"/>
    <w:rsid w:val="008E1C41"/>
    <w:rsid w:val="008F0C98"/>
    <w:rsid w:val="008F2FCA"/>
    <w:rsid w:val="008F7520"/>
    <w:rsid w:val="00926E1E"/>
    <w:rsid w:val="00934E95"/>
    <w:rsid w:val="00993323"/>
    <w:rsid w:val="009960CE"/>
    <w:rsid w:val="0099670E"/>
    <w:rsid w:val="009C3571"/>
    <w:rsid w:val="009E0AEF"/>
    <w:rsid w:val="009E4A8E"/>
    <w:rsid w:val="00A078D6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6486F"/>
    <w:rsid w:val="00F01F96"/>
    <w:rsid w:val="00F05305"/>
    <w:rsid w:val="00F10118"/>
    <w:rsid w:val="00F13205"/>
    <w:rsid w:val="00F3525F"/>
    <w:rsid w:val="00F54B95"/>
    <w:rsid w:val="00F7484B"/>
    <w:rsid w:val="00F77ACA"/>
    <w:rsid w:val="00F82172"/>
    <w:rsid w:val="00F93C0F"/>
    <w:rsid w:val="00FA2E37"/>
    <w:rsid w:val="00FA53D3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F6F433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F82C-28EB-439C-A02C-0AA4BC81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8</cp:revision>
  <dcterms:created xsi:type="dcterms:W3CDTF">2023-03-02T11:33:00Z</dcterms:created>
  <dcterms:modified xsi:type="dcterms:W3CDTF">2024-03-13T15:31:00Z</dcterms:modified>
</cp:coreProperties>
</file>