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67" w:rsidRPr="00977899" w:rsidRDefault="00885967" w:rsidP="00977899">
      <w:pPr>
        <w:spacing w:after="100" w:line="280" w:lineRule="exact"/>
        <w:jc w:val="both"/>
        <w:rPr>
          <w:rFonts w:ascii="Arial" w:hAnsi="Arial" w:cs="Arial"/>
          <w:b/>
          <w:color w:val="000000"/>
          <w:sz w:val="28"/>
          <w:szCs w:val="28"/>
          <w:lang w:val="pt-PT"/>
        </w:rPr>
      </w:pPr>
      <w:r w:rsidRPr="00977899">
        <w:rPr>
          <w:rFonts w:ascii="Arial" w:hAnsi="Arial" w:cs="Arial"/>
          <w:b/>
          <w:color w:val="000000"/>
          <w:sz w:val="28"/>
          <w:szCs w:val="28"/>
          <w:lang w:val="pt-PT"/>
        </w:rPr>
        <w:t>R</w:t>
      </w:r>
      <w:r w:rsidR="00316E34" w:rsidRPr="00977899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egistos </w:t>
      </w:r>
      <w:r w:rsidR="00B70B04">
        <w:rPr>
          <w:rFonts w:ascii="Arial" w:hAnsi="Arial" w:cs="Arial"/>
          <w:b/>
          <w:color w:val="000000"/>
          <w:sz w:val="28"/>
          <w:szCs w:val="28"/>
          <w:lang w:val="pt-PT"/>
        </w:rPr>
        <w:t>para desenfumagem (com aprovação CE)</w:t>
      </w:r>
    </w:p>
    <w:p w:rsidR="00977899" w:rsidRDefault="00977899" w:rsidP="00977899">
      <w:pPr>
        <w:spacing w:after="100" w:line="280" w:lineRule="exact"/>
        <w:jc w:val="both"/>
        <w:rPr>
          <w:rFonts w:ascii="Arial" w:hAnsi="Arial" w:cs="Arial"/>
          <w:color w:val="000000"/>
          <w:sz w:val="20"/>
          <w:szCs w:val="20"/>
          <w:lang w:val="pt-PT"/>
        </w:rPr>
      </w:pPr>
    </w:p>
    <w:p w:rsidR="00DB693F" w:rsidRPr="00977899" w:rsidRDefault="00C8768D" w:rsidP="00977899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</w:p>
    <w:p w:rsidR="00FE4DED" w:rsidRDefault="00AD4DD1" w:rsidP="0076647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Registos m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>otorizados do tipo</w:t>
      </w:r>
      <w:r w:rsidR="00D92DC7">
        <w:rPr>
          <w:rFonts w:ascii="Arial" w:hAnsi="Arial" w:cs="Arial"/>
          <w:color w:val="000000"/>
          <w:sz w:val="18"/>
          <w:szCs w:val="18"/>
          <w:lang w:val="pt-PT"/>
        </w:rPr>
        <w:t xml:space="preserve"> un</w:t>
      </w:r>
      <w:r w:rsidR="0008721C">
        <w:rPr>
          <w:rFonts w:ascii="Arial" w:hAnsi="Arial" w:cs="Arial"/>
          <w:color w:val="000000"/>
          <w:sz w:val="18"/>
          <w:szCs w:val="18"/>
          <w:lang w:val="pt-PT"/>
        </w:rPr>
        <w:t xml:space="preserve">ilâmina 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 xml:space="preserve">com caixa em chapa de aço galvanizado, 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 xml:space="preserve">próprios para 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>instalação dire</w:t>
      </w:r>
      <w:r w:rsidR="0008721C">
        <w:rPr>
          <w:rFonts w:ascii="Arial" w:hAnsi="Arial" w:cs="Arial"/>
          <w:color w:val="000000"/>
          <w:sz w:val="18"/>
          <w:szCs w:val="18"/>
          <w:lang w:val="pt-PT"/>
        </w:rPr>
        <w:t xml:space="preserve">ta 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>em condutas de desenfumagem do mesmo material.</w:t>
      </w:r>
    </w:p>
    <w:p w:rsidR="00AD4DD1" w:rsidRDefault="00AD4DD1" w:rsidP="0076647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A sua principal função é permitir levar ar novo e remover fumo da(s) zona(s) sinistradas, com o objetivo de manter livres 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>(</w:t>
      </w:r>
      <w:r>
        <w:rPr>
          <w:rFonts w:ascii="Arial" w:hAnsi="Arial" w:cs="Arial"/>
          <w:color w:val="000000"/>
          <w:sz w:val="18"/>
          <w:szCs w:val="18"/>
          <w:lang w:val="pt-PT"/>
        </w:rPr>
        <w:t>de fumo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>)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os caminhos de fuga.</w:t>
      </w:r>
    </w:p>
    <w:p w:rsidR="0076647F" w:rsidRDefault="00AD4DD1" w:rsidP="0076647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Tendo em linha d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>e conta a necessária integração destes registos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no sistema de desenfumagem geral (descrito nesta memória descritiva)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 xml:space="preserve"> deverão os mesmos incluir um atuador elé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trico reversível (sem mola de retorno) com aprovação específica para este tipo de aplicações 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>- segurança contra incêndios.</w:t>
      </w:r>
    </w:p>
    <w:p w:rsidR="007F576C" w:rsidRPr="00D30638" w:rsidRDefault="009B597A" w:rsidP="009B597A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Deverão ter classificação EI</w:t>
      </w:r>
      <w:r w:rsidR="009E2BEB"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7A0ECB">
        <w:rPr>
          <w:rFonts w:ascii="Arial" w:hAnsi="Arial" w:cs="Arial"/>
          <w:color w:val="000000"/>
          <w:sz w:val="18"/>
          <w:szCs w:val="18"/>
          <w:lang w:val="pt-PT"/>
        </w:rPr>
        <w:t>2</w:t>
      </w:r>
      <w:r w:rsidR="009E2BEB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 xml:space="preserve"> (V</w:t>
      </w:r>
      <w:r w:rsidR="00D30638">
        <w:rPr>
          <w:rFonts w:ascii="Arial" w:hAnsi="Arial" w:cs="Arial"/>
          <w:color w:val="000000"/>
          <w:sz w:val="18"/>
          <w:szCs w:val="18"/>
          <w:vertAlign w:val="subscript"/>
          <w:lang w:val="pt-PT"/>
        </w:rPr>
        <w:t>e</w:t>
      </w:r>
      <w:r w:rsidR="00FE4DED" w:rsidRPr="00FE4DED">
        <w:rPr>
          <w:rFonts w:ascii="Arial" w:hAnsi="Arial" w:cs="Arial"/>
          <w:color w:val="000000"/>
          <w:sz w:val="18"/>
          <w:szCs w:val="18"/>
          <w:vertAlign w:val="subscript"/>
          <w:lang w:val="pt-PT"/>
        </w:rPr>
        <w:t>w</w:t>
      </w:r>
      <w:r w:rsidR="0008721C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="00BF2958">
        <w:rPr>
          <w:rFonts w:ascii="Arial" w:hAnsi="Arial" w:cs="Arial"/>
          <w:color w:val="000000"/>
          <w:sz w:val="18"/>
          <w:szCs w:val="18"/>
          <w:lang w:val="pt-PT"/>
        </w:rPr>
        <w:t xml:space="preserve"> ho,</w:t>
      </w:r>
      <w:bookmarkStart w:id="0" w:name="_GoBack"/>
      <w:bookmarkEnd w:id="0"/>
      <w:r w:rsidR="0008721C">
        <w:rPr>
          <w:rFonts w:ascii="Arial" w:hAnsi="Arial" w:cs="Arial"/>
          <w:color w:val="000000"/>
          <w:sz w:val="18"/>
          <w:szCs w:val="18"/>
          <w:lang w:val="pt-PT"/>
        </w:rPr>
        <w:t xml:space="preserve"> i </w:t>
      </w:r>
      <w:r w:rsidR="00290CD1">
        <w:rPr>
          <w:rFonts w:ascii="Arial" w:hAnsi="Arial" w:cs="Arial"/>
          <w:color w:val="000000"/>
          <w:sz w:val="18"/>
          <w:szCs w:val="18"/>
          <w:lang w:val="pt-PT"/>
        </w:rPr>
        <w:t>↔</w:t>
      </w:r>
      <w:r w:rsidR="0008721C">
        <w:rPr>
          <w:rFonts w:ascii="Arial" w:hAnsi="Arial" w:cs="Arial"/>
          <w:color w:val="000000"/>
          <w:sz w:val="18"/>
          <w:szCs w:val="18"/>
          <w:lang w:val="pt-PT"/>
        </w:rPr>
        <w:t xml:space="preserve"> o) S1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>00 C</w:t>
      </w:r>
      <w:r w:rsidR="0008721C">
        <w:rPr>
          <w:rFonts w:ascii="Arial" w:hAnsi="Arial" w:cs="Arial"/>
          <w:color w:val="000000"/>
          <w:sz w:val="18"/>
          <w:szCs w:val="18"/>
          <w:vertAlign w:val="subscript"/>
          <w:lang w:val="pt-PT"/>
        </w:rPr>
        <w:t>10.000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>A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>A multi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de acordo com a norma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br/>
      </w:r>
      <w:r>
        <w:rPr>
          <w:rFonts w:ascii="Arial" w:hAnsi="Arial" w:cs="Arial"/>
          <w:color w:val="000000"/>
          <w:sz w:val="18"/>
          <w:szCs w:val="18"/>
          <w:lang w:val="pt-PT"/>
        </w:rPr>
        <w:t>EN 13501-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>4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passada p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>or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entidade competente </w:t>
      </w:r>
      <w:r w:rsidR="00D92DC7">
        <w:rPr>
          <w:rFonts w:ascii="Arial" w:hAnsi="Arial" w:cs="Arial"/>
          <w:color w:val="000000"/>
          <w:sz w:val="18"/>
          <w:szCs w:val="18"/>
          <w:lang w:val="pt-PT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lang w:val="pt-PT"/>
        </w:rPr>
        <w:t>reconhecida no espaço europeu.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 xml:space="preserve"> Esta classificação assegura uma integridade ao fogo durante pelo menos </w:t>
      </w:r>
      <w:r w:rsidR="0008721C">
        <w:rPr>
          <w:rFonts w:ascii="Arial" w:hAnsi="Arial" w:cs="Arial"/>
          <w:color w:val="000000"/>
          <w:sz w:val="18"/>
          <w:szCs w:val="18"/>
          <w:lang w:val="pt-PT"/>
        </w:rPr>
        <w:t>120</w:t>
      </w:r>
      <w:r w:rsidR="00D92DC7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FE4DED">
        <w:rPr>
          <w:rFonts w:ascii="Arial" w:hAnsi="Arial" w:cs="Arial"/>
          <w:color w:val="000000"/>
          <w:sz w:val="18"/>
          <w:szCs w:val="18"/>
          <w:lang w:val="pt-PT"/>
        </w:rPr>
        <w:t>minutos independentemente da localização e posição de montagem.</w:t>
      </w:r>
    </w:p>
    <w:p w:rsidR="00977899" w:rsidRPr="00977899" w:rsidRDefault="00977899" w:rsidP="00977899">
      <w:pPr>
        <w:spacing w:after="100" w:line="280" w:lineRule="exact"/>
        <w:jc w:val="both"/>
        <w:rPr>
          <w:rFonts w:ascii="Arial" w:hAnsi="Arial" w:cs="Arial"/>
          <w:color w:val="000000"/>
          <w:lang w:val="pt-PT"/>
        </w:rPr>
      </w:pPr>
    </w:p>
    <w:p w:rsidR="00331E94" w:rsidRDefault="00C8768D" w:rsidP="00C43D15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 xml:space="preserve">Características técnicas </w:t>
      </w:r>
    </w:p>
    <w:p w:rsidR="00C43D15" w:rsidRPr="00D17AE9" w:rsidRDefault="00977899" w:rsidP="00C43D15">
      <w:pPr>
        <w:spacing w:after="100" w:line="280" w:lineRule="exact"/>
        <w:jc w:val="both"/>
        <w:rPr>
          <w:rFonts w:ascii="Arial" w:hAnsi="Arial" w:cs="Arial"/>
          <w:b/>
          <w:color w:val="000000"/>
          <w:sz w:val="20"/>
          <w:szCs w:val="20"/>
          <w:lang w:val="pt-PT"/>
        </w:rPr>
      </w:pPr>
      <w:r w:rsidRPr="00977899">
        <w:rPr>
          <w:rFonts w:ascii="Arial" w:hAnsi="Arial" w:cs="Arial"/>
          <w:b/>
          <w:color w:val="000000"/>
          <w:sz w:val="20"/>
          <w:szCs w:val="20"/>
          <w:lang w:val="pt-PT"/>
        </w:rPr>
        <w:br/>
      </w:r>
      <w:r w:rsidR="00C43D15" w:rsidRPr="00D17AE9">
        <w:rPr>
          <w:rFonts w:ascii="Arial" w:hAnsi="Arial" w:cs="Arial"/>
          <w:b/>
          <w:color w:val="000000"/>
          <w:sz w:val="20"/>
          <w:szCs w:val="20"/>
          <w:lang w:val="pt-PT"/>
        </w:rPr>
        <w:t>Corpo do registo</w:t>
      </w:r>
    </w:p>
    <w:p w:rsidR="00305FBD" w:rsidRPr="00305FBD" w:rsidRDefault="00305FBD" w:rsidP="00305FBD">
      <w:pPr>
        <w:numPr>
          <w:ilvl w:val="0"/>
          <w:numId w:val="32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305FBD">
        <w:rPr>
          <w:rFonts w:ascii="Arial" w:hAnsi="Arial" w:cs="Arial"/>
          <w:color w:val="000000"/>
          <w:sz w:val="18"/>
          <w:szCs w:val="18"/>
          <w:lang w:val="pt-PT"/>
        </w:rPr>
        <w:t>Próprio para montagem em condutas de extra</w:t>
      </w:r>
      <w:r w:rsidR="0008721C">
        <w:rPr>
          <w:rFonts w:ascii="Arial" w:hAnsi="Arial" w:cs="Arial"/>
          <w:color w:val="000000"/>
          <w:sz w:val="18"/>
          <w:szCs w:val="18"/>
          <w:lang w:val="pt-PT"/>
        </w:rPr>
        <w:t xml:space="preserve">ção 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>de fumo desde que a conduta de ventilação possa ser usada para este fim (extração de fumo)</w:t>
      </w:r>
    </w:p>
    <w:p w:rsidR="00305FBD" w:rsidRDefault="0008721C" w:rsidP="00305FBD">
      <w:pPr>
        <w:numPr>
          <w:ilvl w:val="0"/>
          <w:numId w:val="32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Tamanhos nominais de </w:t>
      </w:r>
      <w:r w:rsidR="00CD750A">
        <w:rPr>
          <w:rFonts w:ascii="Arial" w:hAnsi="Arial" w:cs="Arial"/>
          <w:color w:val="000000"/>
          <w:sz w:val="18"/>
          <w:szCs w:val="18"/>
          <w:lang w:val="pt-PT"/>
        </w:rPr>
        <w:t>2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00 x 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>20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0 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 xml:space="preserve">até 1500 x </w:t>
      </w:r>
      <w:r w:rsidR="00CD750A">
        <w:rPr>
          <w:rFonts w:ascii="Arial" w:hAnsi="Arial" w:cs="Arial"/>
          <w:color w:val="000000"/>
          <w:sz w:val="18"/>
          <w:szCs w:val="18"/>
          <w:lang w:val="pt-PT"/>
        </w:rPr>
        <w:t>10</w:t>
      </w:r>
      <w:r w:rsidR="00D30638">
        <w:rPr>
          <w:rFonts w:ascii="Arial" w:hAnsi="Arial" w:cs="Arial"/>
          <w:color w:val="000000"/>
          <w:sz w:val="18"/>
          <w:szCs w:val="18"/>
          <w:lang w:val="pt-PT"/>
        </w:rPr>
        <w:t>00</w:t>
      </w:r>
    </w:p>
    <w:p w:rsidR="00D30638" w:rsidRPr="00305FBD" w:rsidRDefault="00D30638" w:rsidP="00305FBD">
      <w:pPr>
        <w:numPr>
          <w:ilvl w:val="0"/>
          <w:numId w:val="32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Corpo em cha</w:t>
      </w:r>
      <w:r w:rsidR="00D92DC7">
        <w:rPr>
          <w:rFonts w:ascii="Arial" w:hAnsi="Arial" w:cs="Arial"/>
          <w:color w:val="000000"/>
          <w:sz w:val="18"/>
          <w:szCs w:val="18"/>
          <w:lang w:val="pt-PT"/>
        </w:rPr>
        <w:t>p</w:t>
      </w:r>
      <w:r>
        <w:rPr>
          <w:rFonts w:ascii="Arial" w:hAnsi="Arial" w:cs="Arial"/>
          <w:color w:val="000000"/>
          <w:sz w:val="18"/>
          <w:szCs w:val="18"/>
          <w:lang w:val="pt-PT"/>
        </w:rPr>
        <w:t>a de aço galvanizado.</w:t>
      </w:r>
    </w:p>
    <w:p w:rsidR="00D30638" w:rsidRDefault="00F8079A" w:rsidP="00305FBD">
      <w:pPr>
        <w:numPr>
          <w:ilvl w:val="0"/>
          <w:numId w:val="32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Lâmina de obturação em silicato de cálcio (</w:t>
      </w:r>
      <w:r w:rsidR="003673CF">
        <w:rPr>
          <w:rFonts w:ascii="Arial" w:hAnsi="Arial" w:cs="Arial"/>
          <w:color w:val="000000"/>
          <w:sz w:val="18"/>
          <w:szCs w:val="18"/>
          <w:lang w:val="pt-PT"/>
        </w:rPr>
        <w:t>PROMATECT-H) com 40mm de espessura.</w:t>
      </w:r>
    </w:p>
    <w:p w:rsidR="00305FBD" w:rsidRPr="00305FBD" w:rsidRDefault="00305FBD" w:rsidP="00305FBD">
      <w:pPr>
        <w:numPr>
          <w:ilvl w:val="0"/>
          <w:numId w:val="32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305FBD">
        <w:rPr>
          <w:rFonts w:ascii="Arial" w:hAnsi="Arial" w:cs="Arial"/>
          <w:color w:val="000000"/>
          <w:sz w:val="18"/>
          <w:szCs w:val="18"/>
          <w:lang w:val="pt-PT"/>
        </w:rPr>
        <w:t>Controlo</w:t>
      </w:r>
      <w:r w:rsidR="003673CF">
        <w:rPr>
          <w:rFonts w:ascii="Arial" w:hAnsi="Arial" w:cs="Arial"/>
          <w:color w:val="000000"/>
          <w:sz w:val="18"/>
          <w:szCs w:val="18"/>
          <w:lang w:val="pt-PT"/>
        </w:rPr>
        <w:t xml:space="preserve"> remoto através de atuador elé</w:t>
      </w:r>
      <w:r w:rsidRPr="00305FBD">
        <w:rPr>
          <w:rFonts w:ascii="Arial" w:hAnsi="Arial" w:cs="Arial"/>
          <w:color w:val="000000"/>
          <w:sz w:val="18"/>
          <w:szCs w:val="18"/>
          <w:lang w:val="pt-PT"/>
        </w:rPr>
        <w:t>trico.</w:t>
      </w:r>
    </w:p>
    <w:p w:rsidR="00305FBD" w:rsidRPr="00305FBD" w:rsidRDefault="003673CF" w:rsidP="00305FBD">
      <w:pPr>
        <w:numPr>
          <w:ilvl w:val="0"/>
          <w:numId w:val="32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</w:t>
      </w:r>
      <w:r w:rsidR="00305FBD" w:rsidRPr="00305FBD">
        <w:rPr>
          <w:rFonts w:ascii="Arial" w:hAnsi="Arial" w:cs="Arial"/>
          <w:color w:val="000000"/>
          <w:sz w:val="18"/>
          <w:szCs w:val="18"/>
          <w:lang w:val="pt-PT"/>
        </w:rPr>
        <w:t>tuação automática.</w:t>
      </w:r>
    </w:p>
    <w:p w:rsidR="00305FBD" w:rsidRPr="00305FBD" w:rsidRDefault="00CD750A" w:rsidP="00305FBD">
      <w:pPr>
        <w:numPr>
          <w:ilvl w:val="0"/>
          <w:numId w:val="32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Estanqueidade da caixa: Cl</w:t>
      </w:r>
      <w:r w:rsidR="003673CF">
        <w:rPr>
          <w:rFonts w:ascii="Arial" w:hAnsi="Arial" w:cs="Arial"/>
          <w:color w:val="000000"/>
          <w:sz w:val="18"/>
          <w:szCs w:val="18"/>
          <w:lang w:val="pt-PT"/>
        </w:rPr>
        <w:t xml:space="preserve">asse </w:t>
      </w:r>
      <w:r w:rsidR="00BF2958">
        <w:rPr>
          <w:rFonts w:ascii="Arial" w:hAnsi="Arial" w:cs="Arial"/>
          <w:color w:val="000000"/>
          <w:sz w:val="18"/>
          <w:szCs w:val="18"/>
          <w:lang w:val="pt-PT"/>
        </w:rPr>
        <w:t>C</w:t>
      </w:r>
      <w:r w:rsidR="003673CF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305FBD" w:rsidRPr="00305FBD">
        <w:rPr>
          <w:rFonts w:ascii="Arial" w:hAnsi="Arial" w:cs="Arial"/>
          <w:color w:val="000000"/>
          <w:sz w:val="18"/>
          <w:szCs w:val="18"/>
          <w:lang w:val="pt-PT"/>
        </w:rPr>
        <w:t xml:space="preserve"> (EN 1751)</w:t>
      </w:r>
    </w:p>
    <w:p w:rsidR="00305FBD" w:rsidRDefault="00305FBD" w:rsidP="00305FBD">
      <w:pPr>
        <w:numPr>
          <w:ilvl w:val="0"/>
          <w:numId w:val="32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305FBD">
        <w:rPr>
          <w:rFonts w:ascii="Arial" w:hAnsi="Arial" w:cs="Arial"/>
          <w:color w:val="000000"/>
          <w:sz w:val="18"/>
          <w:szCs w:val="18"/>
          <w:lang w:val="pt-PT"/>
        </w:rPr>
        <w:t>Número de ciclos de abertura e fecho: 10.000</w:t>
      </w:r>
    </w:p>
    <w:p w:rsidR="007F576C" w:rsidRPr="00D17AE9" w:rsidRDefault="003673CF" w:rsidP="0076647F">
      <w:pPr>
        <w:spacing w:after="100" w:line="280" w:lineRule="exact"/>
        <w:jc w:val="both"/>
        <w:rPr>
          <w:rFonts w:ascii="Arial" w:hAnsi="Arial" w:cs="Arial"/>
          <w:b/>
          <w:color w:val="000000"/>
          <w:sz w:val="20"/>
          <w:szCs w:val="20"/>
          <w:lang w:val="pt-PT"/>
        </w:rPr>
      </w:pPr>
      <w:r>
        <w:rPr>
          <w:rFonts w:ascii="Arial" w:hAnsi="Arial" w:cs="Arial"/>
          <w:b/>
          <w:color w:val="000000"/>
          <w:sz w:val="20"/>
          <w:szCs w:val="20"/>
          <w:lang w:val="pt-PT"/>
        </w:rPr>
        <w:t>Atuador elé</w:t>
      </w:r>
      <w:r w:rsidR="00D17AE9" w:rsidRPr="00D17AE9">
        <w:rPr>
          <w:rFonts w:ascii="Arial" w:hAnsi="Arial" w:cs="Arial"/>
          <w:b/>
          <w:color w:val="000000"/>
          <w:sz w:val="20"/>
          <w:szCs w:val="20"/>
          <w:lang w:val="pt-PT"/>
        </w:rPr>
        <w:t>trico</w:t>
      </w:r>
    </w:p>
    <w:p w:rsidR="0076647F" w:rsidRPr="0076647F" w:rsidRDefault="00CE295D" w:rsidP="0076647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Atuador elé</w:t>
      </w:r>
      <w:r w:rsidR="0076647F" w:rsidRPr="0076647F">
        <w:rPr>
          <w:rFonts w:ascii="Arial" w:hAnsi="Arial" w:cs="Arial"/>
          <w:color w:val="000000"/>
          <w:sz w:val="18"/>
          <w:szCs w:val="18"/>
          <w:lang w:val="pt-PT"/>
        </w:rPr>
        <w:t xml:space="preserve">trico </w:t>
      </w:r>
      <w:r w:rsidR="006C6A90">
        <w:rPr>
          <w:rFonts w:ascii="Arial" w:hAnsi="Arial" w:cs="Arial"/>
          <w:color w:val="000000"/>
          <w:sz w:val="18"/>
          <w:szCs w:val="18"/>
          <w:lang w:val="pt-PT"/>
        </w:rPr>
        <w:t>com aprovação específica para aplicações em registos de desenfumagem com as seguintes características:</w:t>
      </w:r>
    </w:p>
    <w:p w:rsidR="006C6A90" w:rsidRDefault="006C6A90" w:rsidP="00305FBD">
      <w:pPr>
        <w:numPr>
          <w:ilvl w:val="0"/>
          <w:numId w:val="34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Alimentação a 24 VAC/CC (10 VA) ou 230 VAC (15VA), de acordo com o sistema de comando e monitorização.</w:t>
      </w:r>
    </w:p>
    <w:p w:rsidR="006C6A90" w:rsidRDefault="006C6A90" w:rsidP="0076647F">
      <w:pPr>
        <w:numPr>
          <w:ilvl w:val="0"/>
          <w:numId w:val="31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Sem mola de retorno – não tem posição de segurança –</w:t>
      </w:r>
      <w:r w:rsidR="00E42B85">
        <w:rPr>
          <w:rFonts w:ascii="Arial" w:hAnsi="Arial" w:cs="Arial"/>
          <w:color w:val="000000"/>
          <w:sz w:val="18"/>
          <w:szCs w:val="18"/>
          <w:lang w:val="pt-PT"/>
        </w:rPr>
        <w:t xml:space="preserve"> poderá estar aberto ou fechado de acordo com a estratégia de combate ao incêndio</w:t>
      </w:r>
      <w:r w:rsidR="0035537F">
        <w:rPr>
          <w:rFonts w:ascii="Arial" w:hAnsi="Arial" w:cs="Arial"/>
          <w:color w:val="000000"/>
          <w:sz w:val="18"/>
          <w:szCs w:val="18"/>
          <w:lang w:val="pt-PT"/>
        </w:rPr>
        <w:t>, pré-definida</w:t>
      </w:r>
      <w:r w:rsidR="00E42B85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6C6A90" w:rsidRDefault="006C6A90" w:rsidP="0076647F">
      <w:pPr>
        <w:numPr>
          <w:ilvl w:val="0"/>
          <w:numId w:val="31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Tempo de </w:t>
      </w:r>
      <w:r w:rsidR="00D92DC7">
        <w:rPr>
          <w:rFonts w:ascii="Arial" w:hAnsi="Arial" w:cs="Arial"/>
          <w:color w:val="000000"/>
          <w:sz w:val="18"/>
          <w:szCs w:val="18"/>
          <w:lang w:val="pt-PT"/>
        </w:rPr>
        <w:t>atuação inferior a 6</w:t>
      </w:r>
      <w:r w:rsidR="00344E3E">
        <w:rPr>
          <w:rFonts w:ascii="Arial" w:hAnsi="Arial" w:cs="Arial"/>
          <w:color w:val="000000"/>
          <w:sz w:val="18"/>
          <w:szCs w:val="18"/>
          <w:lang w:val="pt-PT"/>
        </w:rPr>
        <w:t>0 segundos</w:t>
      </w:r>
      <w:r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305FBD" w:rsidRDefault="006C6A90" w:rsidP="00305FBD">
      <w:pPr>
        <w:numPr>
          <w:ilvl w:val="0"/>
          <w:numId w:val="31"/>
        </w:numPr>
        <w:spacing w:after="100" w:line="280" w:lineRule="exact"/>
        <w:ind w:left="426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305FBD">
        <w:rPr>
          <w:rFonts w:ascii="Arial" w:hAnsi="Arial" w:cs="Arial"/>
          <w:color w:val="000000"/>
          <w:sz w:val="18"/>
          <w:szCs w:val="18"/>
          <w:lang w:val="pt-PT"/>
        </w:rPr>
        <w:t>Binário:</w:t>
      </w:r>
      <w:r w:rsidR="00305FBD" w:rsidRPr="00305F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344E3E">
        <w:rPr>
          <w:rFonts w:ascii="Arial" w:hAnsi="Arial" w:cs="Arial"/>
          <w:color w:val="000000"/>
          <w:sz w:val="18"/>
          <w:szCs w:val="18"/>
          <w:lang w:val="pt-PT"/>
        </w:rPr>
        <w:t>40</w:t>
      </w:r>
      <w:r w:rsidRPr="00305FBD">
        <w:rPr>
          <w:rFonts w:ascii="Arial" w:hAnsi="Arial" w:cs="Arial"/>
          <w:color w:val="000000"/>
          <w:sz w:val="18"/>
          <w:szCs w:val="18"/>
          <w:lang w:val="pt-PT"/>
        </w:rPr>
        <w:t xml:space="preserve"> Nm </w:t>
      </w:r>
    </w:p>
    <w:p w:rsidR="00DD593A" w:rsidRPr="00305FBD" w:rsidRDefault="00DD593A" w:rsidP="00305FBD">
      <w:pPr>
        <w:numPr>
          <w:ilvl w:val="0"/>
          <w:numId w:val="31"/>
        </w:numPr>
        <w:spacing w:after="100" w:line="280" w:lineRule="exact"/>
        <w:ind w:left="426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305FBD">
        <w:rPr>
          <w:rFonts w:ascii="Arial" w:hAnsi="Arial" w:cs="Arial"/>
          <w:color w:val="000000"/>
          <w:sz w:val="18"/>
          <w:szCs w:val="18"/>
          <w:lang w:val="pt-PT"/>
        </w:rPr>
        <w:t>Incluir dois interruptores auxiliares para sinalização remota de registo totalmente aberto ou totalmente fechado.</w:t>
      </w:r>
    </w:p>
    <w:p w:rsidR="00DD593A" w:rsidRDefault="00DD593A" w:rsidP="0076647F">
      <w:pPr>
        <w:numPr>
          <w:ilvl w:val="0"/>
          <w:numId w:val="31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Número de ciclos (aberto/fechado) de vida útil: superior a 10.000.</w:t>
      </w:r>
    </w:p>
    <w:p w:rsidR="0076647F" w:rsidRDefault="00DD593A" w:rsidP="00DD593A">
      <w:pPr>
        <w:numPr>
          <w:ilvl w:val="0"/>
          <w:numId w:val="31"/>
        </w:numPr>
        <w:spacing w:after="100" w:line="280" w:lineRule="exact"/>
        <w:ind w:left="426" w:hanging="284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DD593A">
        <w:rPr>
          <w:rFonts w:ascii="Arial" w:hAnsi="Arial" w:cs="Arial"/>
          <w:color w:val="000000"/>
          <w:sz w:val="18"/>
          <w:szCs w:val="18"/>
          <w:lang w:val="pt-PT"/>
        </w:rPr>
        <w:t>Livres de manutenção.</w:t>
      </w:r>
      <w:r w:rsidR="0076647F" w:rsidRPr="00DD593A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:rsidR="00DD593A" w:rsidRDefault="00DD593A" w:rsidP="00DD593A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B00606" w:rsidRPr="00F27EBA" w:rsidRDefault="00331E94" w:rsidP="00290CD1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Aprovações</w:t>
      </w:r>
    </w:p>
    <w:p w:rsidR="00331E94" w:rsidRPr="00331E94" w:rsidRDefault="00331E94" w:rsidP="00290CD1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331E94">
        <w:rPr>
          <w:rFonts w:ascii="Arial" w:hAnsi="Arial" w:cs="Arial"/>
          <w:color w:val="000000"/>
          <w:sz w:val="18"/>
          <w:szCs w:val="18"/>
          <w:lang w:val="pt-PT"/>
        </w:rPr>
        <w:t>Declaração de desempenho de acordo com o Regulamento Europeu de Produtos para Construção.</w:t>
      </w:r>
    </w:p>
    <w:p w:rsidR="005C164C" w:rsidRDefault="00331E94" w:rsidP="00290CD1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331E94">
        <w:rPr>
          <w:rFonts w:ascii="Arial" w:hAnsi="Arial" w:cs="Arial"/>
          <w:color w:val="000000"/>
          <w:sz w:val="18"/>
          <w:szCs w:val="18"/>
          <w:lang w:val="pt-PT"/>
        </w:rPr>
        <w:t xml:space="preserve">Classificação </w:t>
      </w:r>
      <w:r w:rsidR="009E2BEB">
        <w:rPr>
          <w:rFonts w:ascii="Arial" w:hAnsi="Arial" w:cs="Arial"/>
          <w:color w:val="000000"/>
          <w:sz w:val="18"/>
          <w:szCs w:val="18"/>
          <w:lang w:val="pt-PT"/>
        </w:rPr>
        <w:t>EI120</w:t>
      </w:r>
      <w:r w:rsidR="002B7456">
        <w:rPr>
          <w:rFonts w:ascii="Arial" w:hAnsi="Arial" w:cs="Arial"/>
          <w:color w:val="000000"/>
          <w:sz w:val="18"/>
          <w:szCs w:val="18"/>
          <w:lang w:val="pt-PT"/>
        </w:rPr>
        <w:t xml:space="preserve"> (V</w:t>
      </w:r>
      <w:r w:rsidR="005C164C">
        <w:rPr>
          <w:rFonts w:ascii="Arial" w:hAnsi="Arial" w:cs="Arial"/>
          <w:color w:val="000000"/>
          <w:sz w:val="18"/>
          <w:szCs w:val="18"/>
          <w:vertAlign w:val="subscript"/>
          <w:lang w:val="pt-PT"/>
        </w:rPr>
        <w:t>e</w:t>
      </w:r>
      <w:r w:rsidR="002B7456" w:rsidRPr="00FE4DED">
        <w:rPr>
          <w:rFonts w:ascii="Arial" w:hAnsi="Arial" w:cs="Arial"/>
          <w:color w:val="000000"/>
          <w:sz w:val="18"/>
          <w:szCs w:val="18"/>
          <w:vertAlign w:val="subscript"/>
          <w:lang w:val="pt-PT"/>
        </w:rPr>
        <w:t>w</w:t>
      </w:r>
      <w:r w:rsidR="002B7456">
        <w:rPr>
          <w:rFonts w:ascii="Arial" w:hAnsi="Arial" w:cs="Arial"/>
          <w:color w:val="000000"/>
          <w:sz w:val="18"/>
          <w:szCs w:val="18"/>
          <w:lang w:val="pt-PT"/>
        </w:rPr>
        <w:t xml:space="preserve">, </w:t>
      </w:r>
      <w:r w:rsidR="00CD750A">
        <w:rPr>
          <w:rFonts w:ascii="Arial" w:hAnsi="Arial" w:cs="Arial"/>
          <w:color w:val="000000"/>
          <w:sz w:val="18"/>
          <w:szCs w:val="18"/>
          <w:lang w:val="pt-PT"/>
        </w:rPr>
        <w:t xml:space="preserve">ho, </w:t>
      </w:r>
      <w:r w:rsidR="002B7456">
        <w:rPr>
          <w:rFonts w:ascii="Arial" w:hAnsi="Arial" w:cs="Arial"/>
          <w:color w:val="000000"/>
          <w:sz w:val="18"/>
          <w:szCs w:val="18"/>
          <w:lang w:val="pt-PT"/>
        </w:rPr>
        <w:t xml:space="preserve">i </w:t>
      </w:r>
      <w:r w:rsidR="00290CD1">
        <w:rPr>
          <w:rFonts w:ascii="Arial" w:hAnsi="Arial" w:cs="Arial"/>
          <w:color w:val="000000"/>
          <w:sz w:val="18"/>
          <w:szCs w:val="18"/>
          <w:lang w:val="pt-PT"/>
        </w:rPr>
        <w:t>↔</w:t>
      </w:r>
      <w:r w:rsidR="002B7456">
        <w:rPr>
          <w:rFonts w:ascii="Arial" w:hAnsi="Arial" w:cs="Arial"/>
          <w:color w:val="000000"/>
          <w:sz w:val="18"/>
          <w:szCs w:val="18"/>
          <w:lang w:val="pt-PT"/>
        </w:rPr>
        <w:t xml:space="preserve"> o)</w:t>
      </w:r>
      <w:r w:rsidR="005C164C">
        <w:rPr>
          <w:rFonts w:ascii="Arial" w:hAnsi="Arial" w:cs="Arial"/>
          <w:color w:val="000000"/>
          <w:sz w:val="18"/>
          <w:szCs w:val="18"/>
          <w:lang w:val="pt-PT"/>
        </w:rPr>
        <w:t xml:space="preserve"> S15</w:t>
      </w:r>
      <w:r w:rsidR="002B7456">
        <w:rPr>
          <w:rFonts w:ascii="Arial" w:hAnsi="Arial" w:cs="Arial"/>
          <w:color w:val="000000"/>
          <w:sz w:val="18"/>
          <w:szCs w:val="18"/>
          <w:lang w:val="pt-PT"/>
        </w:rPr>
        <w:t>00 C</w:t>
      </w:r>
      <w:r w:rsidR="002B7456">
        <w:rPr>
          <w:rFonts w:ascii="Arial" w:hAnsi="Arial" w:cs="Arial"/>
          <w:color w:val="000000"/>
          <w:sz w:val="18"/>
          <w:szCs w:val="18"/>
          <w:vertAlign w:val="subscript"/>
          <w:lang w:val="pt-PT"/>
        </w:rPr>
        <w:t>10.000</w:t>
      </w:r>
      <w:r w:rsidR="005C164C">
        <w:rPr>
          <w:rFonts w:ascii="Arial" w:hAnsi="Arial" w:cs="Arial"/>
          <w:color w:val="000000"/>
          <w:sz w:val="18"/>
          <w:szCs w:val="18"/>
          <w:lang w:val="pt-PT"/>
        </w:rPr>
        <w:t xml:space="preserve"> A</w:t>
      </w:r>
      <w:r w:rsidR="002B7456">
        <w:rPr>
          <w:rFonts w:ascii="Arial" w:hAnsi="Arial" w:cs="Arial"/>
          <w:color w:val="000000"/>
          <w:sz w:val="18"/>
          <w:szCs w:val="18"/>
          <w:lang w:val="pt-PT"/>
        </w:rPr>
        <w:t xml:space="preserve">A multi de acordo com EN 13501-4 </w:t>
      </w:r>
    </w:p>
    <w:p w:rsidR="0076647F" w:rsidRDefault="00331E94" w:rsidP="00290CD1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331E94">
        <w:rPr>
          <w:rFonts w:ascii="Arial" w:hAnsi="Arial" w:cs="Arial"/>
          <w:color w:val="000000"/>
          <w:sz w:val="18"/>
          <w:szCs w:val="18"/>
          <w:lang w:val="pt-PT"/>
        </w:rPr>
        <w:t>Resistência ao fogo testado de acordo com EN 1366-10 e EN 1366-2, com lâmina em esforço, durante 10.000 ciclos.</w:t>
      </w:r>
    </w:p>
    <w:p w:rsidR="00331E94" w:rsidRDefault="00331E94" w:rsidP="00331E9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E42B85" w:rsidRDefault="0076647F" w:rsidP="0076647F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E42B85">
        <w:rPr>
          <w:rFonts w:ascii="Arial" w:hAnsi="Arial" w:cs="Arial"/>
          <w:b/>
          <w:color w:val="000000"/>
          <w:lang w:val="pt-PT"/>
        </w:rPr>
        <w:t>Montagem</w:t>
      </w:r>
      <w:r w:rsidR="00136D41" w:rsidRPr="00E42B85">
        <w:rPr>
          <w:rFonts w:ascii="Arial" w:hAnsi="Arial" w:cs="Arial"/>
          <w:b/>
          <w:color w:val="000000"/>
          <w:lang w:val="pt-PT"/>
        </w:rPr>
        <w:t xml:space="preserve"> </w:t>
      </w:r>
    </w:p>
    <w:p w:rsidR="0035537F" w:rsidRDefault="0035537F" w:rsidP="0076647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Os registos de desenfumagem e transferência sendo órgãos de segurança contra incêndios devem ser montados sob orientação de pessoal qualificado e credenciado.</w:t>
      </w:r>
    </w:p>
    <w:p w:rsidR="0035537F" w:rsidRDefault="0035537F" w:rsidP="0076647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Durante a montagem o registo não pode sofrer qualquer deformação, pois tal conduziria a um deficiente funcionamento do mesmo.</w:t>
      </w:r>
    </w:p>
    <w:p w:rsidR="00E42B85" w:rsidRDefault="00E42B85" w:rsidP="0076647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Devem ser seguidas estritamente as recomendações do fabricante </w:t>
      </w:r>
      <w:r w:rsidR="0035537F">
        <w:rPr>
          <w:rFonts w:ascii="Arial" w:hAnsi="Arial" w:cs="Arial"/>
          <w:color w:val="000000"/>
          <w:sz w:val="18"/>
          <w:szCs w:val="18"/>
          <w:lang w:val="pt-PT"/>
        </w:rPr>
        <w:t>quanto ao encastramento destes registos tanto em paredes (leves ou maciças) como em tecto.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Especial atenção ao tipo de cabo e encapsulamento dos terminais e bucins</w:t>
      </w:r>
      <w:r w:rsidR="005C164C">
        <w:rPr>
          <w:rFonts w:ascii="Arial" w:hAnsi="Arial" w:cs="Arial"/>
          <w:color w:val="000000"/>
          <w:sz w:val="18"/>
          <w:szCs w:val="18"/>
          <w:lang w:val="pt-PT"/>
        </w:rPr>
        <w:t>.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Os mesmo deverão ter a classificação adequada de resistência ao fogo (igual à da(s) parede(s) que atravessam).</w:t>
      </w:r>
    </w:p>
    <w:p w:rsidR="0076647F" w:rsidRPr="00E42B85" w:rsidRDefault="00CE295D" w:rsidP="00E42B85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alimentação elé</w:t>
      </w:r>
      <w:r w:rsidR="00E42B85">
        <w:rPr>
          <w:rFonts w:ascii="Arial" w:hAnsi="Arial" w:cs="Arial"/>
          <w:color w:val="000000"/>
          <w:sz w:val="18"/>
          <w:szCs w:val="18"/>
          <w:lang w:val="pt-PT"/>
        </w:rPr>
        <w:t>trica deverá pr</w:t>
      </w:r>
      <w:r w:rsidR="0035537F">
        <w:rPr>
          <w:rFonts w:ascii="Arial" w:hAnsi="Arial" w:cs="Arial"/>
          <w:color w:val="000000"/>
          <w:sz w:val="18"/>
          <w:szCs w:val="18"/>
          <w:lang w:val="pt-PT"/>
        </w:rPr>
        <w:t>o</w:t>
      </w:r>
      <w:r w:rsidR="00E42B85">
        <w:rPr>
          <w:rFonts w:ascii="Arial" w:hAnsi="Arial" w:cs="Arial"/>
          <w:color w:val="000000"/>
          <w:sz w:val="18"/>
          <w:szCs w:val="18"/>
          <w:lang w:val="pt-PT"/>
        </w:rPr>
        <w:t>vir de sistemas ininterruptos – alimentação socorrida – de modo a garantir a funcionalidade destes dispositivos em caso de incêndio.</w:t>
      </w:r>
    </w:p>
    <w:p w:rsidR="0076647F" w:rsidRDefault="0076647F" w:rsidP="00977899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76647F" w:rsidRDefault="0076647F" w:rsidP="00977899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054412" w:rsidRDefault="00054412" w:rsidP="00F27EBA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Marca de referência</w:t>
      </w:r>
      <w:r w:rsidRPr="00287525">
        <w:rPr>
          <w:rFonts w:ascii="Arial" w:hAnsi="Arial" w:cs="Arial"/>
          <w:sz w:val="18"/>
          <w:szCs w:val="18"/>
          <w:lang w:val="pt-PT"/>
        </w:rPr>
        <w:tab/>
      </w:r>
      <w:r w:rsidR="00CD750A">
        <w:rPr>
          <w:rFonts w:ascii="Arial" w:hAnsi="Arial" w:cs="Arial"/>
          <w:b/>
          <w:sz w:val="18"/>
          <w:szCs w:val="18"/>
          <w:lang w:val="pt-PT"/>
        </w:rPr>
        <w:t>Smay</w:t>
      </w:r>
    </w:p>
    <w:p w:rsidR="00F27EBA" w:rsidRPr="00F27EBA" w:rsidRDefault="00F27EBA" w:rsidP="00F27EBA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F27EBA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F27EBA">
        <w:rPr>
          <w:rFonts w:ascii="Arial" w:hAnsi="Arial" w:cs="Arial"/>
          <w:sz w:val="18"/>
          <w:szCs w:val="18"/>
          <w:lang w:val="pt-PT"/>
        </w:rPr>
        <w:tab/>
      </w:r>
      <w:r w:rsidRPr="00F27EBA">
        <w:rPr>
          <w:rFonts w:ascii="Arial" w:hAnsi="Arial" w:cs="Arial"/>
          <w:b/>
          <w:sz w:val="18"/>
          <w:szCs w:val="18"/>
          <w:lang w:val="pt-PT"/>
        </w:rPr>
        <w:t>Contimetra / Sistimetra</w:t>
      </w:r>
    </w:p>
    <w:p w:rsidR="00772668" w:rsidRPr="00977899" w:rsidRDefault="00F27EBA" w:rsidP="00F27EBA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F27EBA">
        <w:rPr>
          <w:rFonts w:ascii="Arial" w:hAnsi="Arial" w:cs="Arial"/>
          <w:b/>
          <w:sz w:val="18"/>
          <w:szCs w:val="18"/>
          <w:lang w:val="pt-PT"/>
        </w:rPr>
        <w:t>Modelo</w:t>
      </w:r>
      <w:r w:rsidRPr="00F27EBA">
        <w:rPr>
          <w:rFonts w:ascii="Arial" w:hAnsi="Arial" w:cs="Arial"/>
          <w:sz w:val="18"/>
          <w:szCs w:val="18"/>
          <w:lang w:val="pt-PT"/>
        </w:rPr>
        <w:tab/>
      </w:r>
      <w:r w:rsidR="00CD750A" w:rsidRPr="00CD750A">
        <w:rPr>
          <w:rFonts w:ascii="Arial" w:hAnsi="Arial" w:cs="Arial"/>
          <w:b/>
          <w:sz w:val="18"/>
          <w:szCs w:val="18"/>
          <w:lang w:val="pt-PT"/>
        </w:rPr>
        <w:t>KWP-P-E</w:t>
      </w:r>
    </w:p>
    <w:sectPr w:rsidR="00772668" w:rsidRPr="00977899" w:rsidSect="00977899">
      <w:footerReference w:type="default" r:id="rId7"/>
      <w:pgSz w:w="11907" w:h="16840" w:code="9"/>
      <w:pgMar w:top="1418" w:right="1701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CF" w:rsidRDefault="003673CF">
      <w:r>
        <w:separator/>
      </w:r>
    </w:p>
  </w:endnote>
  <w:endnote w:type="continuationSeparator" w:id="0">
    <w:p w:rsidR="003673CF" w:rsidRDefault="0036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CF" w:rsidRDefault="003673CF" w:rsidP="00656747">
    <w:pPr>
      <w:pStyle w:val="Rodap"/>
      <w:jc w:val="center"/>
    </w:pPr>
    <w:r>
      <w:rPr>
        <w:rStyle w:val="Nmerodepgina"/>
      </w:rPr>
      <w:t>-</w:t>
    </w:r>
    <w:r w:rsidR="000B0EE9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0B0EE9">
      <w:rPr>
        <w:rStyle w:val="Nmerodepgina"/>
      </w:rPr>
      <w:fldChar w:fldCharType="separate"/>
    </w:r>
    <w:r w:rsidR="00BF2958">
      <w:rPr>
        <w:rStyle w:val="Nmerodepgina"/>
        <w:noProof/>
      </w:rPr>
      <w:t>1</w:t>
    </w:r>
    <w:r w:rsidR="000B0EE9"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CF" w:rsidRDefault="003673CF">
      <w:r>
        <w:separator/>
      </w:r>
    </w:p>
  </w:footnote>
  <w:footnote w:type="continuationSeparator" w:id="0">
    <w:p w:rsidR="003673CF" w:rsidRDefault="0036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C316B88"/>
    <w:multiLevelType w:val="hybridMultilevel"/>
    <w:tmpl w:val="FE6287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8598F"/>
    <w:multiLevelType w:val="hybridMultilevel"/>
    <w:tmpl w:val="011A8D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C7558"/>
    <w:multiLevelType w:val="hybridMultilevel"/>
    <w:tmpl w:val="7150A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C168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22"/>
  </w:num>
  <w:num w:numId="4">
    <w:abstractNumId w:val="10"/>
  </w:num>
  <w:num w:numId="5">
    <w:abstractNumId w:val="5"/>
  </w:num>
  <w:num w:numId="6">
    <w:abstractNumId w:val="11"/>
  </w:num>
  <w:num w:numId="7">
    <w:abstractNumId w:val="17"/>
  </w:num>
  <w:num w:numId="8">
    <w:abstractNumId w:val="13"/>
  </w:num>
  <w:num w:numId="9">
    <w:abstractNumId w:val="7"/>
  </w:num>
  <w:num w:numId="10">
    <w:abstractNumId w:val="26"/>
  </w:num>
  <w:num w:numId="11">
    <w:abstractNumId w:val="33"/>
  </w:num>
  <w:num w:numId="12">
    <w:abstractNumId w:val="21"/>
  </w:num>
  <w:num w:numId="13">
    <w:abstractNumId w:val="9"/>
  </w:num>
  <w:num w:numId="14">
    <w:abstractNumId w:val="28"/>
  </w:num>
  <w:num w:numId="15">
    <w:abstractNumId w:val="27"/>
  </w:num>
  <w:num w:numId="16">
    <w:abstractNumId w:val="19"/>
  </w:num>
  <w:num w:numId="17">
    <w:abstractNumId w:val="32"/>
  </w:num>
  <w:num w:numId="18">
    <w:abstractNumId w:val="14"/>
  </w:num>
  <w:num w:numId="19">
    <w:abstractNumId w:val="24"/>
  </w:num>
  <w:num w:numId="20">
    <w:abstractNumId w:val="12"/>
  </w:num>
  <w:num w:numId="21">
    <w:abstractNumId w:val="0"/>
  </w:num>
  <w:num w:numId="22">
    <w:abstractNumId w:val="15"/>
  </w:num>
  <w:num w:numId="23">
    <w:abstractNumId w:val="23"/>
  </w:num>
  <w:num w:numId="24">
    <w:abstractNumId w:val="3"/>
  </w:num>
  <w:num w:numId="25">
    <w:abstractNumId w:val="4"/>
  </w:num>
  <w:num w:numId="26">
    <w:abstractNumId w:val="8"/>
  </w:num>
  <w:num w:numId="27">
    <w:abstractNumId w:val="30"/>
  </w:num>
  <w:num w:numId="28">
    <w:abstractNumId w:val="20"/>
  </w:num>
  <w:num w:numId="29">
    <w:abstractNumId w:val="25"/>
  </w:num>
  <w:num w:numId="30">
    <w:abstractNumId w:val="31"/>
  </w:num>
  <w:num w:numId="31">
    <w:abstractNumId w:val="1"/>
  </w:num>
  <w:num w:numId="32">
    <w:abstractNumId w:val="6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6C"/>
    <w:rsid w:val="0001566A"/>
    <w:rsid w:val="000243D9"/>
    <w:rsid w:val="000360CB"/>
    <w:rsid w:val="00054412"/>
    <w:rsid w:val="0008721C"/>
    <w:rsid w:val="0009310D"/>
    <w:rsid w:val="000B0EE9"/>
    <w:rsid w:val="000C230A"/>
    <w:rsid w:val="000D515E"/>
    <w:rsid w:val="00136D41"/>
    <w:rsid w:val="00161B93"/>
    <w:rsid w:val="00164031"/>
    <w:rsid w:val="00192E2B"/>
    <w:rsid w:val="001A5A97"/>
    <w:rsid w:val="001B4751"/>
    <w:rsid w:val="001C1932"/>
    <w:rsid w:val="00237F24"/>
    <w:rsid w:val="00242077"/>
    <w:rsid w:val="00253445"/>
    <w:rsid w:val="0025691A"/>
    <w:rsid w:val="00287525"/>
    <w:rsid w:val="00290CD1"/>
    <w:rsid w:val="002B7456"/>
    <w:rsid w:val="002C5907"/>
    <w:rsid w:val="002E135A"/>
    <w:rsid w:val="003028AA"/>
    <w:rsid w:val="00305FBD"/>
    <w:rsid w:val="00316E34"/>
    <w:rsid w:val="003256A2"/>
    <w:rsid w:val="00331E94"/>
    <w:rsid w:val="00344E3E"/>
    <w:rsid w:val="0035537F"/>
    <w:rsid w:val="003624C3"/>
    <w:rsid w:val="00363C83"/>
    <w:rsid w:val="003673CF"/>
    <w:rsid w:val="003D5063"/>
    <w:rsid w:val="00423A61"/>
    <w:rsid w:val="00426495"/>
    <w:rsid w:val="004419DF"/>
    <w:rsid w:val="00457DE5"/>
    <w:rsid w:val="004D72FB"/>
    <w:rsid w:val="004E5A1C"/>
    <w:rsid w:val="004F7184"/>
    <w:rsid w:val="0051513A"/>
    <w:rsid w:val="00521380"/>
    <w:rsid w:val="0056124D"/>
    <w:rsid w:val="00566174"/>
    <w:rsid w:val="005C164C"/>
    <w:rsid w:val="00656747"/>
    <w:rsid w:val="00695C70"/>
    <w:rsid w:val="006C30A0"/>
    <w:rsid w:val="006C6A90"/>
    <w:rsid w:val="00726D98"/>
    <w:rsid w:val="0076647F"/>
    <w:rsid w:val="00772668"/>
    <w:rsid w:val="007A0ECB"/>
    <w:rsid w:val="007A3E26"/>
    <w:rsid w:val="007D4F7C"/>
    <w:rsid w:val="007E448B"/>
    <w:rsid w:val="007F1E21"/>
    <w:rsid w:val="007F576C"/>
    <w:rsid w:val="00854F1E"/>
    <w:rsid w:val="0088054E"/>
    <w:rsid w:val="00885967"/>
    <w:rsid w:val="008A6467"/>
    <w:rsid w:val="008B24D3"/>
    <w:rsid w:val="008D76F4"/>
    <w:rsid w:val="00910B05"/>
    <w:rsid w:val="0093610A"/>
    <w:rsid w:val="00977899"/>
    <w:rsid w:val="009937E2"/>
    <w:rsid w:val="009B597A"/>
    <w:rsid w:val="009C06F3"/>
    <w:rsid w:val="009E2BEB"/>
    <w:rsid w:val="00A61807"/>
    <w:rsid w:val="00A8547D"/>
    <w:rsid w:val="00A85EC0"/>
    <w:rsid w:val="00AD4DD1"/>
    <w:rsid w:val="00B00606"/>
    <w:rsid w:val="00B243D2"/>
    <w:rsid w:val="00B555B7"/>
    <w:rsid w:val="00B70B04"/>
    <w:rsid w:val="00B77FCB"/>
    <w:rsid w:val="00BB6AC5"/>
    <w:rsid w:val="00BF2958"/>
    <w:rsid w:val="00C43D15"/>
    <w:rsid w:val="00C6221A"/>
    <w:rsid w:val="00C70258"/>
    <w:rsid w:val="00C8768D"/>
    <w:rsid w:val="00C92E59"/>
    <w:rsid w:val="00CB4E08"/>
    <w:rsid w:val="00CB67B8"/>
    <w:rsid w:val="00CD750A"/>
    <w:rsid w:val="00CE295D"/>
    <w:rsid w:val="00D17AE9"/>
    <w:rsid w:val="00D30638"/>
    <w:rsid w:val="00D37DAE"/>
    <w:rsid w:val="00D5702E"/>
    <w:rsid w:val="00D86EA7"/>
    <w:rsid w:val="00D92DC7"/>
    <w:rsid w:val="00DA6DCF"/>
    <w:rsid w:val="00DB693F"/>
    <w:rsid w:val="00DD593A"/>
    <w:rsid w:val="00DE5567"/>
    <w:rsid w:val="00DE61A4"/>
    <w:rsid w:val="00DF310F"/>
    <w:rsid w:val="00DF6744"/>
    <w:rsid w:val="00E42B85"/>
    <w:rsid w:val="00E6434B"/>
    <w:rsid w:val="00EB68EE"/>
    <w:rsid w:val="00EC30F8"/>
    <w:rsid w:val="00EC7A4A"/>
    <w:rsid w:val="00EE3CF4"/>
    <w:rsid w:val="00EF01A3"/>
    <w:rsid w:val="00F138C5"/>
    <w:rsid w:val="00F26E50"/>
    <w:rsid w:val="00F27EBA"/>
    <w:rsid w:val="00F8079A"/>
    <w:rsid w:val="00FD38AA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1C14F-BEE4-46FC-A3D1-38C7AC48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499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José Graça - CONTIMETRA</cp:lastModifiedBy>
  <cp:revision>4</cp:revision>
  <cp:lastPrinted>2011-07-28T08:48:00Z</cp:lastPrinted>
  <dcterms:created xsi:type="dcterms:W3CDTF">2020-04-14T12:01:00Z</dcterms:created>
  <dcterms:modified xsi:type="dcterms:W3CDTF">2020-04-14T12:20:00Z</dcterms:modified>
</cp:coreProperties>
</file>