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CF77AB" w:rsidRDefault="00611F72" w:rsidP="00CF77AB">
      <w:pPr>
        <w:spacing w:after="240" w:line="360" w:lineRule="auto"/>
        <w:outlineLvl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Atenuador de som circular </w:t>
      </w:r>
      <w:r w:rsidR="00940A7B">
        <w:rPr>
          <w:rFonts w:cstheme="minorHAnsi"/>
          <w:b/>
          <w:color w:val="000000"/>
          <w:sz w:val="28"/>
          <w:szCs w:val="28"/>
        </w:rPr>
        <w:t>de elevada performance</w:t>
      </w:r>
      <w:r w:rsidR="00940A7B">
        <w:rPr>
          <w:rFonts w:cstheme="minorHAnsi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/>
          <w:b/>
          <w:color w:val="000000"/>
          <w:sz w:val="28"/>
          <w:szCs w:val="28"/>
        </w:rPr>
        <w:t>(série C</w:t>
      </w:r>
      <w:r w:rsidR="009E237A">
        <w:rPr>
          <w:rFonts w:cstheme="minorHAnsi"/>
          <w:b/>
          <w:color w:val="000000"/>
          <w:sz w:val="28"/>
          <w:szCs w:val="28"/>
        </w:rPr>
        <w:t>K</w:t>
      </w:r>
      <w:r>
        <w:rPr>
          <w:rFonts w:cstheme="minorHAnsi"/>
          <w:b/>
          <w:color w:val="000000"/>
          <w:sz w:val="28"/>
          <w:szCs w:val="28"/>
        </w:rPr>
        <w:t xml:space="preserve"> da </w:t>
      </w:r>
      <w:proofErr w:type="spellStart"/>
      <w:r>
        <w:rPr>
          <w:rFonts w:cstheme="minorHAnsi"/>
          <w:b/>
          <w:color w:val="000000"/>
          <w:sz w:val="28"/>
          <w:szCs w:val="28"/>
        </w:rPr>
        <w:t>Trox</w:t>
      </w:r>
      <w:proofErr w:type="spellEnd"/>
      <w:r>
        <w:rPr>
          <w:rFonts w:cstheme="minorHAnsi"/>
          <w:b/>
          <w:color w:val="000000"/>
          <w:sz w:val="28"/>
          <w:szCs w:val="28"/>
        </w:rPr>
        <w:t>)</w:t>
      </w:r>
      <w:r w:rsidR="009E237A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611F72" w:rsidRPr="00CF77AB" w:rsidRDefault="00611F72" w:rsidP="00611F72">
      <w:pPr>
        <w:tabs>
          <w:tab w:val="left" w:pos="9540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Descrição</w:t>
      </w:r>
    </w:p>
    <w:p w:rsidR="00611F72" w:rsidRPr="00117AC7" w:rsidRDefault="00611F72" w:rsidP="007B0EF3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 xml:space="preserve">Atenuador de som circular próprio para ser inserido nas condutas de distribuição de ar nas localizações indicadas nos diagramas eólicos. 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O dimensionamento deve ser feito de modo a satisfazer os seguintes requisitos: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Atenuação acústica pretendida.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Tamanho da conduta e espaço disponível.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Caudal de ar.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Perda de carga máx</w:t>
      </w:r>
      <w:r w:rsidR="007272B8">
        <w:rPr>
          <w:rFonts w:cstheme="minorHAnsi"/>
          <w:color w:val="595959" w:themeColor="text1" w:themeTint="A6"/>
          <w:sz w:val="18"/>
          <w:szCs w:val="18"/>
        </w:rPr>
        <w:t>ima</w:t>
      </w:r>
      <w:r w:rsidRPr="00117AC7">
        <w:rPr>
          <w:rFonts w:cstheme="minorHAnsi"/>
          <w:color w:val="595959" w:themeColor="text1" w:themeTint="A6"/>
          <w:sz w:val="18"/>
          <w:szCs w:val="18"/>
        </w:rPr>
        <w:t>. (sempre que possível inferior a 50 Pa).</w:t>
      </w:r>
    </w:p>
    <w:p w:rsidR="00611F72" w:rsidRPr="00117AC7" w:rsidRDefault="00611F72" w:rsidP="00611F72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As características da atenuação devem ser apresentadas em tabela ou gráficos</w:t>
      </w:r>
      <w:r w:rsidR="007272B8">
        <w:rPr>
          <w:rFonts w:cstheme="minorHAnsi"/>
          <w:color w:val="595959" w:themeColor="text1" w:themeTint="A6"/>
          <w:sz w:val="18"/>
          <w:szCs w:val="18"/>
        </w:rPr>
        <w:t>, provenientes de programas reconhecidos,</w:t>
      </w:r>
      <w:r w:rsidRPr="00117AC7">
        <w:rPr>
          <w:rFonts w:cstheme="minorHAnsi"/>
          <w:color w:val="595959" w:themeColor="text1" w:themeTint="A6"/>
          <w:sz w:val="18"/>
          <w:szCs w:val="18"/>
        </w:rPr>
        <w:t xml:space="preserve"> tendo por base o princípio de absorção obedecendo à norma europeia EN ISO 7235 reconhecida por entidades certificadas. 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:rsidTr="006305B5">
        <w:tc>
          <w:tcPr>
            <w:tcW w:w="7083" w:type="dxa"/>
          </w:tcPr>
          <w:p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  <w:r w:rsidRPr="007D4F2A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Características p</w:t>
            </w:r>
            <w:r w:rsidR="008F2FCA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rincipais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Atenuadores de som circulares próprios para inserir em condutas de ar 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em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sistemas centralizados de AVAC, para reduzir o ruído provocado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principalmente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por ventiladores e reguladores de caudal de ar.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Atenuação sonora com base no princípio da absorção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Grau de atenuação acústica medida de acordo com a norma ISO 7235</w:t>
            </w:r>
          </w:p>
          <w:p w:rsidR="00611F72" w:rsidRPr="00611F72" w:rsidRDefault="00611F72" w:rsidP="007272B8">
            <w:pPr>
              <w:tabs>
                <w:tab w:val="left" w:leader="dot" w:pos="3119"/>
              </w:tabs>
              <w:spacing w:after="120"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Estanqu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e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idade da caixa de acordo com a norma EN 15727: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br/>
              <w:t xml:space="preserve"> - 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Tamanhos até DN 400, </w:t>
            </w:r>
            <w:proofErr w:type="spellStart"/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inclusivé</w:t>
            </w:r>
            <w:proofErr w:type="spellEnd"/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: classe D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br/>
              <w:t xml:space="preserve"> - 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Tamanhos acima de DN 400: classe C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Adequados para ambientes potencialmente explosivos zonas 1 e 2 conforme diretiva EU 2014/34/EC (ATEX) e zonas 21 e 22 conforme diretiva EU 1999/92/EC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Golas de ligação próprias para montar diretamente em condutas circulares de acordo com as normas EN 1506 e EN 13680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Pressão máxima: 2000 Pa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Velocidade máxima do ar: 20 m/s</w:t>
            </w:r>
          </w:p>
          <w:p w:rsidR="00B10019" w:rsidRPr="006305B5" w:rsidRDefault="00611F72" w:rsidP="00611F72">
            <w:pPr>
              <w:tabs>
                <w:tab w:val="left" w:leader="dot" w:pos="3686"/>
              </w:tabs>
              <w:spacing w:after="120"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Temperatura máxima do ar: 90ºC</w:t>
            </w:r>
          </w:p>
        </w:tc>
        <w:tc>
          <w:tcPr>
            <w:tcW w:w="2653" w:type="dxa"/>
          </w:tcPr>
          <w:p w:rsidR="001250CD" w:rsidRDefault="001250CD" w:rsidP="00350C11">
            <w:pPr>
              <w:spacing w:before="120" w:after="120" w:line="276" w:lineRule="auto"/>
              <w:jc w:val="center"/>
            </w:pPr>
          </w:p>
          <w:p w:rsidR="0024231E" w:rsidRPr="00350C11" w:rsidRDefault="000D2F88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508125" cy="144549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h_ficha_tro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44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FCA" w:rsidRDefault="008F2FCA">
      <w:pPr>
        <w:rPr>
          <w:rStyle w:val="Forte"/>
          <w:rFonts w:eastAsia="Arial Unicode MS" w:cstheme="minorHAnsi"/>
        </w:rPr>
      </w:pPr>
    </w:p>
    <w:p w:rsidR="00CF77AB" w:rsidRDefault="00CF77AB">
      <w:pPr>
        <w:rPr>
          <w:rStyle w:val="Forte"/>
          <w:rFonts w:eastAsia="Arial Unicode MS" w:cstheme="minorHAnsi"/>
        </w:rPr>
      </w:pPr>
    </w:p>
    <w:p w:rsidR="008F2FCA" w:rsidRDefault="008F2FCA" w:rsidP="008F2FCA">
      <w:pPr>
        <w:tabs>
          <w:tab w:val="left" w:leader="dot" w:pos="2552"/>
        </w:tabs>
        <w:spacing w:line="360" w:lineRule="auto"/>
        <w:jc w:val="both"/>
        <w:rPr>
          <w:rStyle w:val="Forte"/>
          <w:rFonts w:eastAsia="Arial Unicode MS" w:cstheme="minorHAnsi"/>
        </w:rPr>
      </w:pPr>
      <w:r>
        <w:rPr>
          <w:rStyle w:val="Forte"/>
          <w:rFonts w:eastAsia="Arial Unicode MS" w:cstheme="minorHAnsi"/>
        </w:rPr>
        <w:lastRenderedPageBreak/>
        <w:t xml:space="preserve">Materiais </w:t>
      </w:r>
    </w:p>
    <w:p w:rsidR="00611F72" w:rsidRPr="00611F72" w:rsidRDefault="00611F72" w:rsidP="00611F72">
      <w:p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Caixa exterior</w:t>
      </w:r>
      <w:r w:rsidR="009E237A">
        <w:rPr>
          <w:rFonts w:cstheme="minorHAnsi"/>
          <w:color w:val="595959" w:themeColor="text1" w:themeTint="A6"/>
          <w:sz w:val="18"/>
          <w:szCs w:val="18"/>
        </w:rPr>
        <w:t>, invólucro do septo</w:t>
      </w:r>
      <w:r w:rsidRPr="00611F72">
        <w:rPr>
          <w:rFonts w:cstheme="minorHAnsi"/>
          <w:color w:val="595959" w:themeColor="text1" w:themeTint="A6"/>
          <w:sz w:val="18"/>
          <w:szCs w:val="18"/>
        </w:rPr>
        <w:t xml:space="preserve"> e superfície </w:t>
      </w:r>
      <w:proofErr w:type="gramStart"/>
      <w:r w:rsidRPr="00611F72">
        <w:rPr>
          <w:rFonts w:cstheme="minorHAnsi"/>
          <w:color w:val="595959" w:themeColor="text1" w:themeTint="A6"/>
          <w:sz w:val="18"/>
          <w:szCs w:val="18"/>
        </w:rPr>
        <w:t>perfurada interior</w:t>
      </w:r>
      <w:proofErr w:type="gramEnd"/>
      <w:r w:rsidRPr="00611F72">
        <w:rPr>
          <w:rFonts w:cstheme="minorHAnsi"/>
          <w:color w:val="595959" w:themeColor="text1" w:themeTint="A6"/>
          <w:sz w:val="18"/>
          <w:szCs w:val="18"/>
        </w:rPr>
        <w:t xml:space="preserve"> em aço galvanizado 1.0917</w:t>
      </w:r>
      <w:r w:rsidR="007272B8">
        <w:rPr>
          <w:rFonts w:cstheme="minorHAnsi"/>
          <w:color w:val="595959" w:themeColor="text1" w:themeTint="A6"/>
          <w:sz w:val="18"/>
          <w:szCs w:val="18"/>
        </w:rPr>
        <w:t>, ou caixa exterior</w:t>
      </w:r>
      <w:r w:rsidR="009E237A">
        <w:rPr>
          <w:rFonts w:cstheme="minorHAnsi"/>
          <w:color w:val="595959" w:themeColor="text1" w:themeTint="A6"/>
          <w:sz w:val="18"/>
          <w:szCs w:val="18"/>
        </w:rPr>
        <w:t>, invólucro do septo</w:t>
      </w:r>
      <w:r w:rsidR="007272B8">
        <w:rPr>
          <w:rFonts w:cstheme="minorHAnsi"/>
          <w:color w:val="595959" w:themeColor="text1" w:themeTint="A6"/>
          <w:sz w:val="18"/>
          <w:szCs w:val="18"/>
        </w:rPr>
        <w:t xml:space="preserve"> e superfície perfurada interior em aço</w:t>
      </w:r>
      <w:r w:rsidRPr="00611F72">
        <w:rPr>
          <w:rFonts w:cstheme="minorHAnsi"/>
          <w:color w:val="595959" w:themeColor="text1" w:themeTint="A6"/>
          <w:sz w:val="18"/>
          <w:szCs w:val="18"/>
        </w:rPr>
        <w:t xml:space="preserve"> inox 1.4301</w:t>
      </w:r>
    </w:p>
    <w:p w:rsidR="00611F72" w:rsidRPr="00611F72" w:rsidRDefault="00611F72" w:rsidP="00611F72">
      <w:p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Material de absorção</w:t>
      </w:r>
      <w:r w:rsidR="009E237A">
        <w:rPr>
          <w:rFonts w:cstheme="minorHAnsi"/>
          <w:color w:val="595959" w:themeColor="text1" w:themeTint="A6"/>
          <w:sz w:val="18"/>
          <w:szCs w:val="18"/>
        </w:rPr>
        <w:t xml:space="preserve"> no interior da caixa e do septo</w:t>
      </w:r>
      <w:r w:rsidRPr="00611F72">
        <w:rPr>
          <w:rFonts w:cstheme="minorHAnsi"/>
          <w:color w:val="595959" w:themeColor="text1" w:themeTint="A6"/>
          <w:sz w:val="18"/>
          <w:szCs w:val="18"/>
        </w:rPr>
        <w:t>: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Classificação ao fogo: não combustível, classe A1, segundo norma EN 13501-1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Inofensivo para a saúde de acordo com a TRGS 905 (alemã) e segundo a diretiva EU, 97/69/EC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Revestimento com manta em fibra de vidro pra proteção contra a desagregação, do material de absorção, para velocidades do ar até 20 m/s</w:t>
      </w:r>
    </w:p>
    <w:p w:rsidR="000D2F88" w:rsidRPr="00306B3A" w:rsidRDefault="00611F72" w:rsidP="000D2F88">
      <w:pPr>
        <w:pStyle w:val="PargrafodaLista"/>
        <w:numPr>
          <w:ilvl w:val="0"/>
          <w:numId w:val="5"/>
        </w:numPr>
        <w:rPr>
          <w:rFonts w:eastAsia="Arial Unicode MS" w:cstheme="minorHAnsi"/>
          <w:b/>
          <w:bCs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Inerte quanto ao desenvolvimento de fungos e bactérias de acordo com a norma EN846A</w:t>
      </w:r>
    </w:p>
    <w:p w:rsidR="00306B3A" w:rsidRDefault="00306B3A" w:rsidP="00306B3A">
      <w:pPr>
        <w:rPr>
          <w:rFonts w:eastAsia="Arial Unicode MS" w:cstheme="minorHAnsi"/>
          <w:b/>
          <w:bCs/>
        </w:rPr>
      </w:pPr>
    </w:p>
    <w:p w:rsidR="00306B3A" w:rsidRPr="00117AC7" w:rsidRDefault="00306B3A" w:rsidP="00306B3A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</w:rPr>
      </w:pPr>
      <w:r w:rsidRPr="00117AC7">
        <w:rPr>
          <w:rFonts w:cstheme="minorHAnsi"/>
          <w:b/>
          <w:sz w:val="24"/>
          <w:szCs w:val="24"/>
        </w:rPr>
        <w:t>Instalação</w:t>
      </w:r>
    </w:p>
    <w:p w:rsidR="00306B3A" w:rsidRPr="00117AC7" w:rsidRDefault="00306B3A" w:rsidP="00306B3A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Devem ser cumpridas as indicações específicas da fabricante no que diz respeito à localização e montagem por modo a assegurar as características técnicas de absorção de som e perda de carga.</w:t>
      </w:r>
    </w:p>
    <w:p w:rsidR="008F2FCA" w:rsidRPr="000D2F88" w:rsidRDefault="008F2FCA" w:rsidP="000D2F88">
      <w:pPr>
        <w:rPr>
          <w:rStyle w:val="Forte"/>
          <w:rFonts w:eastAsia="Arial Unicode MS" w:cstheme="minorHAnsi"/>
        </w:rPr>
      </w:pPr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0D2F88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="000D2F88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0D2F88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Grupo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Modelo 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="000D2F88">
        <w:rPr>
          <w:rFonts w:cstheme="minorHAnsi"/>
          <w:b/>
          <w:color w:val="595959" w:themeColor="text1" w:themeTint="A6"/>
          <w:sz w:val="18"/>
          <w:szCs w:val="18"/>
        </w:rPr>
        <w:t>C</w:t>
      </w:r>
      <w:r w:rsidR="009E237A">
        <w:rPr>
          <w:rFonts w:cstheme="minorHAnsi"/>
          <w:b/>
          <w:color w:val="595959" w:themeColor="text1" w:themeTint="A6"/>
          <w:sz w:val="18"/>
          <w:szCs w:val="18"/>
        </w:rPr>
        <w:t>K</w:t>
      </w: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1E7997" w:rsidRPr="00350C11" w:rsidRDefault="00B73304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0D2F88">
        <w:rPr>
          <w:rFonts w:cstheme="minorHAnsi"/>
          <w:sz w:val="12"/>
          <w:szCs w:val="12"/>
        </w:rPr>
        <w:t>atenuadoresdesom</w:t>
      </w:r>
      <w:proofErr w:type="spellEnd"/>
      <w:r w:rsidR="000D0A78" w:rsidRPr="00350C11">
        <w:rPr>
          <w:rFonts w:cstheme="minorHAnsi"/>
          <w:sz w:val="12"/>
          <w:szCs w:val="12"/>
        </w:rPr>
        <w:t>/</w:t>
      </w:r>
      <w:r w:rsidR="000D2F88">
        <w:rPr>
          <w:rFonts w:cstheme="minorHAnsi"/>
          <w:sz w:val="12"/>
          <w:szCs w:val="12"/>
        </w:rPr>
        <w:t>C</w:t>
      </w:r>
      <w:r w:rsidR="009E237A">
        <w:rPr>
          <w:rFonts w:cstheme="minorHAnsi"/>
          <w:sz w:val="12"/>
          <w:szCs w:val="12"/>
        </w:rPr>
        <w:t>K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940A7B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3DF7"/>
    <w:rsid w:val="000513B4"/>
    <w:rsid w:val="00065EEA"/>
    <w:rsid w:val="000B2267"/>
    <w:rsid w:val="000D0A78"/>
    <w:rsid w:val="000D2F88"/>
    <w:rsid w:val="000E36CE"/>
    <w:rsid w:val="00114D17"/>
    <w:rsid w:val="001250CD"/>
    <w:rsid w:val="0014736B"/>
    <w:rsid w:val="001617C2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06B3A"/>
    <w:rsid w:val="00350C11"/>
    <w:rsid w:val="003A480F"/>
    <w:rsid w:val="003C7D09"/>
    <w:rsid w:val="003F1FB7"/>
    <w:rsid w:val="004632C0"/>
    <w:rsid w:val="00480D0A"/>
    <w:rsid w:val="004B7FB0"/>
    <w:rsid w:val="004E11B1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F2FCA"/>
    <w:rsid w:val="00940A7B"/>
    <w:rsid w:val="0099670E"/>
    <w:rsid w:val="009C3571"/>
    <w:rsid w:val="009E237A"/>
    <w:rsid w:val="009E4A8E"/>
    <w:rsid w:val="00A078D6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F77AB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52DFC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0888-B47A-42D1-9C3E-082320D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2022-09-08T08:43:00Z</dcterms:created>
  <dcterms:modified xsi:type="dcterms:W3CDTF">2022-09-08T11:10:00Z</dcterms:modified>
</cp:coreProperties>
</file>