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997" w:rsidRDefault="001E7997" w:rsidP="00885277">
      <w:pPr>
        <w:spacing w:before="120" w:after="120" w:line="276" w:lineRule="auto"/>
        <w:ind w:left="-1701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CF77AB" w:rsidRPr="00CF77AB" w:rsidRDefault="00CF77AB" w:rsidP="00CF77AB">
      <w:pPr>
        <w:spacing w:after="240" w:line="360" w:lineRule="auto"/>
        <w:outlineLvl w:val="0"/>
        <w:rPr>
          <w:rFonts w:cstheme="minorHAnsi"/>
          <w:color w:val="000000"/>
          <w:sz w:val="28"/>
          <w:szCs w:val="28"/>
        </w:rPr>
      </w:pPr>
      <w:r w:rsidRPr="00CF77AB">
        <w:rPr>
          <w:rFonts w:cstheme="minorHAnsi"/>
          <w:b/>
          <w:color w:val="000000"/>
          <w:sz w:val="28"/>
          <w:szCs w:val="28"/>
        </w:rPr>
        <w:t xml:space="preserve">Válvulas de borboleta – motorizadas </w:t>
      </w:r>
      <w:r w:rsidRPr="00CF77AB">
        <w:rPr>
          <w:rFonts w:cstheme="minorHAnsi"/>
          <w:color w:val="000000"/>
          <w:sz w:val="28"/>
          <w:szCs w:val="28"/>
        </w:rPr>
        <w:t>(DN150 a DN300)</w:t>
      </w:r>
      <w:r w:rsidR="009D6CEF">
        <w:rPr>
          <w:rFonts w:cstheme="minorHAnsi"/>
          <w:color w:val="000000"/>
          <w:sz w:val="28"/>
          <w:szCs w:val="28"/>
        </w:rPr>
        <w:t xml:space="preserve">, </w:t>
      </w:r>
      <w:r w:rsidR="009D6CEF" w:rsidRPr="009D6CEF">
        <w:rPr>
          <w:rFonts w:cstheme="minorHAnsi"/>
          <w:b/>
          <w:color w:val="000000"/>
          <w:sz w:val="28"/>
          <w:szCs w:val="28"/>
        </w:rPr>
        <w:t>com carta de comunicações</w:t>
      </w:r>
    </w:p>
    <w:p w:rsidR="00CF77AB" w:rsidRPr="00CF77AB" w:rsidRDefault="00CF77AB" w:rsidP="00CF77AB">
      <w:pPr>
        <w:spacing w:after="120" w:line="360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Nos locais indicados nos desenhos deverão ser instaladas válvulas de borboleta motorizadas cuja finalidade é permitir gerir remotamente os circuitos hidráulicos, por abertura ou fecho destas válvulas, de modo a equilibrar do ponto de vista energético as necessidades dos consumo</w:t>
      </w:r>
      <w:r>
        <w:rPr>
          <w:rFonts w:cstheme="minorHAnsi"/>
          <w:color w:val="595959" w:themeColor="text1" w:themeTint="A6"/>
          <w:sz w:val="18"/>
          <w:szCs w:val="18"/>
        </w:rPr>
        <w:t>s</w:t>
      </w:r>
      <w:r w:rsidRPr="00CF77AB">
        <w:rPr>
          <w:rFonts w:cstheme="minorHAnsi"/>
          <w:color w:val="595959" w:themeColor="text1" w:themeTint="A6"/>
          <w:sz w:val="18"/>
          <w:szCs w:val="18"/>
        </w:rPr>
        <w:t xml:space="preserve"> à produção – retirando ou adicionando circuitos hidráulicos ativos, bombas e produtores (</w:t>
      </w:r>
      <w:proofErr w:type="spellStart"/>
      <w:r w:rsidRPr="00CF77AB">
        <w:rPr>
          <w:rFonts w:cstheme="minorHAnsi"/>
          <w:color w:val="595959" w:themeColor="text1" w:themeTint="A6"/>
          <w:sz w:val="18"/>
          <w:szCs w:val="18"/>
        </w:rPr>
        <w:t>chillers</w:t>
      </w:r>
      <w:proofErr w:type="spellEnd"/>
      <w:r w:rsidRPr="00CF77AB">
        <w:rPr>
          <w:rFonts w:cstheme="minorHAnsi"/>
          <w:color w:val="595959" w:themeColor="text1" w:themeTint="A6"/>
          <w:sz w:val="18"/>
          <w:szCs w:val="18"/>
        </w:rPr>
        <w:t>, caldeiras, bombas de calor, …).</w:t>
      </w:r>
    </w:p>
    <w:p w:rsidR="00CF77AB" w:rsidRPr="00CF77AB" w:rsidRDefault="00CF77AB" w:rsidP="00CF77AB">
      <w:pPr>
        <w:spacing w:after="120" w:line="360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Deverão ser próprias para água fria ou refrigerada e água quente (gama -20 a 120ºC).</w:t>
      </w:r>
    </w:p>
    <w:p w:rsidR="00CF77AB" w:rsidRPr="00CF77AB" w:rsidRDefault="00CF77AB" w:rsidP="00CF77AB">
      <w:pPr>
        <w:spacing w:after="120" w:line="360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Dada a elevada “responsabilidade” destas válvulas na poupança energética do sistema hidráulico realçam-se algumas características fundamentais da sua aceitação.</w:t>
      </w:r>
    </w:p>
    <w:p w:rsidR="00CF77AB" w:rsidRPr="00CF77AB" w:rsidRDefault="00CF77AB" w:rsidP="00CF77AB">
      <w:pPr>
        <w:pStyle w:val="PargrafodaLista"/>
        <w:numPr>
          <w:ilvl w:val="0"/>
          <w:numId w:val="2"/>
        </w:numPr>
        <w:spacing w:after="120"/>
        <w:contextualSpacing w:val="0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Serem produzidas por fabricante de reconhecida qualidade e que assegure um mínimo de 5 anos de garantia.</w:t>
      </w:r>
    </w:p>
    <w:p w:rsidR="00CF77AB" w:rsidRPr="00CF77AB" w:rsidRDefault="00CF77AB" w:rsidP="00CF77AB">
      <w:pPr>
        <w:pStyle w:val="PargrafodaLista"/>
        <w:numPr>
          <w:ilvl w:val="0"/>
          <w:numId w:val="2"/>
        </w:numPr>
        <w:spacing w:after="120"/>
        <w:contextualSpacing w:val="0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O conjunto válvula-atuador deverá ser o recomendado pelo fabricante por a forma a garantir o fecho e abertura integrais da borboleta considerando a pressão diferencial máxima que se espera vir a ocorrer nos circuitos em questão e o tempo de vida das instalações.</w:t>
      </w:r>
    </w:p>
    <w:p w:rsidR="00CF77AB" w:rsidRDefault="00CF77AB" w:rsidP="00CF77AB">
      <w:pPr>
        <w:pStyle w:val="PargrafodaLista"/>
        <w:numPr>
          <w:ilvl w:val="0"/>
          <w:numId w:val="2"/>
        </w:numPr>
        <w:spacing w:after="120"/>
        <w:contextualSpacing w:val="0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As flanges deverão ser apropriadas ao corpo da válvula.</w:t>
      </w:r>
    </w:p>
    <w:p w:rsidR="009D6CEF" w:rsidRPr="00CF77AB" w:rsidRDefault="009D6CEF" w:rsidP="00CF77AB">
      <w:pPr>
        <w:pStyle w:val="PargrafodaLista"/>
        <w:numPr>
          <w:ilvl w:val="0"/>
          <w:numId w:val="2"/>
        </w:numPr>
        <w:spacing w:after="120"/>
        <w:contextualSpacing w:val="0"/>
        <w:jc w:val="both"/>
        <w:rPr>
          <w:rFonts w:cstheme="minorHAnsi"/>
          <w:color w:val="595959" w:themeColor="text1" w:themeTint="A6"/>
          <w:sz w:val="18"/>
          <w:szCs w:val="18"/>
        </w:rPr>
      </w:pPr>
      <w:r>
        <w:rPr>
          <w:rFonts w:cstheme="minorHAnsi"/>
          <w:color w:val="595959" w:themeColor="text1" w:themeTint="A6"/>
          <w:sz w:val="18"/>
          <w:szCs w:val="18"/>
        </w:rPr>
        <w:t xml:space="preserve">Para garantir uma eficiente manobra de várias válvulas de comutação de ciclo funcional os respetivos atuadores deverão ter uma carta de comunicações </w:t>
      </w:r>
      <w:proofErr w:type="spellStart"/>
      <w:r>
        <w:rPr>
          <w:rFonts w:cstheme="minorHAnsi"/>
          <w:color w:val="595959" w:themeColor="text1" w:themeTint="A6"/>
          <w:sz w:val="18"/>
          <w:szCs w:val="18"/>
        </w:rPr>
        <w:t>BACnet</w:t>
      </w:r>
      <w:proofErr w:type="spellEnd"/>
      <w:r>
        <w:rPr>
          <w:rFonts w:cstheme="minorHAnsi"/>
          <w:color w:val="595959" w:themeColor="text1" w:themeTint="A6"/>
          <w:sz w:val="18"/>
          <w:szCs w:val="18"/>
        </w:rPr>
        <w:t xml:space="preserve"> e </w:t>
      </w:r>
      <w:proofErr w:type="spellStart"/>
      <w:r>
        <w:rPr>
          <w:rFonts w:cstheme="minorHAnsi"/>
          <w:color w:val="595959" w:themeColor="text1" w:themeTint="A6"/>
          <w:sz w:val="18"/>
          <w:szCs w:val="18"/>
        </w:rPr>
        <w:t>Modbus</w:t>
      </w:r>
      <w:proofErr w:type="spellEnd"/>
      <w:r>
        <w:rPr>
          <w:rFonts w:cstheme="minorHAnsi"/>
          <w:color w:val="595959" w:themeColor="text1" w:themeTint="A6"/>
          <w:sz w:val="18"/>
          <w:szCs w:val="18"/>
        </w:rPr>
        <w:t>.</w:t>
      </w: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B722B7" w:rsidRPr="00350C11" w:rsidTr="006305B5">
        <w:tc>
          <w:tcPr>
            <w:tcW w:w="7083" w:type="dxa"/>
          </w:tcPr>
          <w:p w:rsidR="006305B5" w:rsidRDefault="006305B5" w:rsidP="006305B5">
            <w:pPr>
              <w:tabs>
                <w:tab w:val="left" w:pos="954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</w:p>
          <w:p w:rsidR="006305B5" w:rsidRDefault="006305B5" w:rsidP="006305B5">
            <w:pPr>
              <w:tabs>
                <w:tab w:val="left" w:pos="954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  <w:r w:rsidRPr="007D4F2A">
              <w:rPr>
                <w:rFonts w:eastAsia="Times New Roman" w:cstheme="minorHAnsi"/>
                <w:b/>
                <w:sz w:val="24"/>
                <w:szCs w:val="24"/>
                <w:lang w:eastAsia="pt-PT"/>
              </w:rPr>
              <w:t>Características p</w:t>
            </w:r>
            <w:r w:rsidR="008F2FCA">
              <w:rPr>
                <w:rFonts w:eastAsia="Times New Roman" w:cstheme="minorHAnsi"/>
                <w:b/>
                <w:sz w:val="24"/>
                <w:szCs w:val="24"/>
                <w:lang w:eastAsia="pt-PT"/>
              </w:rPr>
              <w:t>rincipais</w:t>
            </w:r>
          </w:p>
          <w:p w:rsidR="00CF77AB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proofErr w:type="gramStart"/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Fluido</w:t>
            </w:r>
            <w:r w:rsidR="00F93C0F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água</w:t>
            </w:r>
            <w:proofErr w:type="gramEnd"/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quente ou fria, com glicol até 50% volume</w:t>
            </w:r>
          </w:p>
          <w:p w:rsidR="00CF77AB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Temperatura do fluido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>entre -20 e 120ºC</w:t>
            </w:r>
          </w:p>
          <w:p w:rsidR="00CF77AB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proofErr w:type="spellStart"/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Máx</w:t>
            </w:r>
            <w:proofErr w:type="spellEnd"/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. pressão permitida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>16 bar (1600 kPa)</w:t>
            </w:r>
          </w:p>
          <w:p w:rsidR="00CF77AB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Taxa de fuga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>classificação “A” de acordo com EN 12266-1</w:t>
            </w:r>
          </w:p>
          <w:p w:rsidR="00F93C0F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Ligações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 xml:space="preserve">por flanges PN6/PN10/PN16 </w:t>
            </w:r>
            <w:r w:rsidR="009D6CEF">
              <w:rPr>
                <w:rFonts w:cstheme="minorHAnsi"/>
                <w:color w:val="595959" w:themeColor="text1" w:themeTint="A6"/>
                <w:sz w:val="18"/>
                <w:szCs w:val="18"/>
              </w:rPr>
              <w:t>(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segundo ISO 7005-2)</w:t>
            </w:r>
          </w:p>
          <w:p w:rsidR="00B10019" w:rsidRPr="006305B5" w:rsidRDefault="00B10019" w:rsidP="008F2FCA">
            <w:pPr>
              <w:tabs>
                <w:tab w:val="left" w:leader="dot" w:pos="3686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53" w:type="dxa"/>
          </w:tcPr>
          <w:p w:rsidR="001250CD" w:rsidRDefault="001250CD" w:rsidP="00350C11">
            <w:pPr>
              <w:spacing w:before="120" w:after="120" w:line="276" w:lineRule="auto"/>
              <w:jc w:val="center"/>
            </w:pPr>
          </w:p>
          <w:p w:rsidR="0024231E" w:rsidRPr="00350C11" w:rsidRDefault="00CF77AB" w:rsidP="00350C11">
            <w:pPr>
              <w:spacing w:before="120" w:after="120" w:line="276" w:lineRule="auto"/>
              <w:jc w:val="center"/>
              <w:rPr>
                <w:rFonts w:cstheme="minorHAnsi"/>
              </w:rPr>
            </w:pPr>
            <w:r>
              <w:object w:dxaOrig="2926" w:dyaOrig="45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55pt;height:121.35pt" o:ole="">
                  <v:imagedata r:id="rId9" o:title=""/>
                </v:shape>
                <o:OLEObject Type="Embed" ProgID="CorelDraw.Graphic.23" ShapeID="_x0000_i1025" DrawAspect="Content" ObjectID="_1708326731" r:id="rId10"/>
              </w:object>
            </w:r>
          </w:p>
        </w:tc>
      </w:tr>
    </w:tbl>
    <w:p w:rsidR="008F2FCA" w:rsidRDefault="008F2FCA">
      <w:pPr>
        <w:rPr>
          <w:rStyle w:val="Forte"/>
          <w:rFonts w:eastAsia="Arial Unicode MS" w:cstheme="minorHAnsi"/>
        </w:rPr>
      </w:pPr>
    </w:p>
    <w:p w:rsidR="00CF77AB" w:rsidRDefault="00CF77AB">
      <w:pPr>
        <w:rPr>
          <w:rStyle w:val="Forte"/>
          <w:rFonts w:eastAsia="Arial Unicode MS" w:cstheme="minorHAnsi"/>
        </w:rPr>
      </w:pPr>
    </w:p>
    <w:p w:rsidR="008F2FCA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</w:rPr>
      </w:pPr>
      <w:r>
        <w:rPr>
          <w:rStyle w:val="Forte"/>
          <w:rFonts w:eastAsia="Arial Unicode MS" w:cstheme="minorHAnsi"/>
        </w:rPr>
        <w:t>Materiais construtivos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Corpo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ferro fundido (GGG 40)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  <w:t xml:space="preserve"> com pintura a polyester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Disco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aço inox (1.4301)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Veio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aço inox (1.4021)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Revestimento interno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EPDM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Vedantes (o-ring)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EPDM</w:t>
      </w:r>
    </w:p>
    <w:p w:rsidR="008F2FCA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</w:rPr>
      </w:pPr>
      <w:r>
        <w:rPr>
          <w:rStyle w:val="Forte"/>
          <w:rFonts w:eastAsia="Arial Unicode MS" w:cstheme="minorHAnsi"/>
        </w:rPr>
        <w:lastRenderedPageBreak/>
        <w:t>Atuadores elétricos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 xml:space="preserve">Tipo 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  <w:t xml:space="preserve"> elétrico reversível (sem mola)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Alimentação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 xml:space="preserve">24 VCA a 230 VCA 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Sinal de comando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tudo/nada ou 3 pontos</w:t>
      </w:r>
      <w:r w:rsidR="001670F8">
        <w:rPr>
          <w:rFonts w:cstheme="minorHAnsi"/>
          <w:color w:val="595959" w:themeColor="text1" w:themeTint="A6"/>
          <w:sz w:val="18"/>
          <w:szCs w:val="18"/>
        </w:rPr>
        <w:t xml:space="preserve">; </w:t>
      </w:r>
      <w:proofErr w:type="spellStart"/>
      <w:r w:rsidR="001670F8">
        <w:rPr>
          <w:rFonts w:cstheme="minorHAnsi"/>
          <w:color w:val="595959" w:themeColor="text1" w:themeTint="A6"/>
          <w:sz w:val="18"/>
          <w:szCs w:val="18"/>
        </w:rPr>
        <w:t>BACnet</w:t>
      </w:r>
      <w:proofErr w:type="spellEnd"/>
      <w:r w:rsidR="001670F8">
        <w:rPr>
          <w:rFonts w:cstheme="minorHAnsi"/>
          <w:color w:val="595959" w:themeColor="text1" w:themeTint="A6"/>
          <w:sz w:val="18"/>
          <w:szCs w:val="18"/>
        </w:rPr>
        <w:t xml:space="preserve"> MS/TP ou </w:t>
      </w:r>
      <w:proofErr w:type="spellStart"/>
      <w:r w:rsidR="001670F8">
        <w:rPr>
          <w:rFonts w:cstheme="minorHAnsi"/>
          <w:color w:val="595959" w:themeColor="text1" w:themeTint="A6"/>
          <w:sz w:val="18"/>
          <w:szCs w:val="18"/>
        </w:rPr>
        <w:t>Modbus</w:t>
      </w:r>
      <w:proofErr w:type="spellEnd"/>
      <w:r w:rsidR="001670F8">
        <w:rPr>
          <w:rFonts w:cstheme="minorHAnsi"/>
          <w:color w:val="595959" w:themeColor="text1" w:themeTint="A6"/>
          <w:sz w:val="18"/>
          <w:szCs w:val="18"/>
        </w:rPr>
        <w:t xml:space="preserve"> RTU</w:t>
      </w:r>
    </w:p>
    <w:p w:rsid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Interruptores auxiliares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 xml:space="preserve">2 </w:t>
      </w:r>
    </w:p>
    <w:p w:rsidR="001670F8" w:rsidRPr="00CF77AB" w:rsidRDefault="001670F8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>
        <w:rPr>
          <w:rFonts w:cstheme="minorHAnsi"/>
          <w:color w:val="595959" w:themeColor="text1" w:themeTint="A6"/>
          <w:sz w:val="18"/>
          <w:szCs w:val="18"/>
        </w:rPr>
        <w:t>Entradas analógicas/digitais</w:t>
      </w:r>
      <w:r>
        <w:rPr>
          <w:rFonts w:cstheme="minorHAnsi"/>
          <w:color w:val="595959" w:themeColor="text1" w:themeTint="A6"/>
          <w:sz w:val="18"/>
          <w:szCs w:val="18"/>
        </w:rPr>
        <w:tab/>
        <w:t xml:space="preserve"> 2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bookmarkStart w:id="0" w:name="_GoBack"/>
      <w:r w:rsidRPr="00CF77AB">
        <w:rPr>
          <w:rFonts w:cstheme="minorHAnsi"/>
          <w:color w:val="595959" w:themeColor="text1" w:themeTint="A6"/>
          <w:sz w:val="18"/>
          <w:szCs w:val="18"/>
        </w:rPr>
        <w:t>Ligações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bornes interiores</w:t>
      </w:r>
    </w:p>
    <w:bookmarkEnd w:id="0"/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Binário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 xml:space="preserve">160 </w:t>
      </w:r>
      <w:proofErr w:type="spellStart"/>
      <w:r w:rsidRPr="00CF77AB">
        <w:rPr>
          <w:rFonts w:cstheme="minorHAnsi"/>
          <w:color w:val="595959" w:themeColor="text1" w:themeTint="A6"/>
          <w:sz w:val="18"/>
          <w:szCs w:val="18"/>
        </w:rPr>
        <w:t>Nm</w:t>
      </w:r>
      <w:proofErr w:type="spellEnd"/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Tempo de atuação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 xml:space="preserve">30 a 120 </w:t>
      </w:r>
      <w:proofErr w:type="spellStart"/>
      <w:r w:rsidRPr="00CF77AB">
        <w:rPr>
          <w:rFonts w:cstheme="minorHAnsi"/>
          <w:color w:val="595959" w:themeColor="text1" w:themeTint="A6"/>
          <w:sz w:val="18"/>
          <w:szCs w:val="18"/>
        </w:rPr>
        <w:t>seg</w:t>
      </w:r>
      <w:proofErr w:type="spellEnd"/>
      <w:r w:rsidRPr="00CF77AB">
        <w:rPr>
          <w:rFonts w:cstheme="minorHAnsi"/>
          <w:color w:val="595959" w:themeColor="text1" w:themeTint="A6"/>
          <w:sz w:val="18"/>
          <w:szCs w:val="18"/>
        </w:rPr>
        <w:t xml:space="preserve"> (programável)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Temperatura ambiente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-30 a 50ºC (sem condensação)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Conformidade eletromagnética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CE 2014/30/EU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Grau de proteção (IEC/EN)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IP66 + IP67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Atuação manual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 xml:space="preserve">com manivela integrada </w:t>
      </w:r>
    </w:p>
    <w:p w:rsidR="008F2FCA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  <w:b w:val="0"/>
          <w:sz w:val="18"/>
          <w:szCs w:val="18"/>
        </w:rPr>
      </w:pPr>
    </w:p>
    <w:p w:rsidR="008F2FCA" w:rsidRPr="00892EF1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</w:rPr>
      </w:pPr>
      <w:r>
        <w:rPr>
          <w:rStyle w:val="Forte"/>
          <w:rFonts w:eastAsia="Arial Unicode MS" w:cstheme="minorHAnsi"/>
        </w:rPr>
        <w:t>Dimensionamento</w:t>
      </w:r>
    </w:p>
    <w:p w:rsidR="008F2FCA" w:rsidRPr="007159BD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7159BD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À priori a válvula deverá ter o mesmo tamanho nominal da tubagem onde irá ser inserida.</w:t>
      </w:r>
    </w:p>
    <w:p w:rsidR="00CF77AB" w:rsidRPr="00CF77AB" w:rsidRDefault="00CF77AB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b/>
          <w:color w:val="595959" w:themeColor="text1" w:themeTint="A6"/>
          <w:sz w:val="18"/>
          <w:szCs w:val="18"/>
        </w:rPr>
        <w:t>Marca de referência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ab/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>BELIMO</w:t>
      </w:r>
    </w:p>
    <w:p w:rsidR="00CF77AB" w:rsidRPr="00CF77AB" w:rsidRDefault="00CF77AB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b/>
          <w:color w:val="595959" w:themeColor="text1" w:themeTint="A6"/>
          <w:sz w:val="18"/>
          <w:szCs w:val="18"/>
        </w:rPr>
        <w:t>Distribuidor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ab/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 xml:space="preserve">Grupo </w:t>
      </w:r>
      <w:proofErr w:type="spellStart"/>
      <w:r w:rsidRPr="00CF77AB">
        <w:rPr>
          <w:rFonts w:cstheme="minorHAnsi"/>
          <w:b/>
          <w:color w:val="595959" w:themeColor="text1" w:themeTint="A6"/>
          <w:sz w:val="18"/>
          <w:szCs w:val="18"/>
        </w:rPr>
        <w:t>Contimetra</w:t>
      </w:r>
      <w:proofErr w:type="spellEnd"/>
      <w:r w:rsidRPr="00CF77AB">
        <w:rPr>
          <w:rFonts w:cstheme="minorHAnsi"/>
          <w:b/>
          <w:color w:val="595959" w:themeColor="text1" w:themeTint="A6"/>
          <w:sz w:val="18"/>
          <w:szCs w:val="18"/>
        </w:rPr>
        <w:t xml:space="preserve"> / </w:t>
      </w:r>
      <w:proofErr w:type="spellStart"/>
      <w:r w:rsidRPr="00CF77AB">
        <w:rPr>
          <w:rFonts w:cstheme="minorHAnsi"/>
          <w:b/>
          <w:color w:val="595959" w:themeColor="text1" w:themeTint="A6"/>
          <w:sz w:val="18"/>
          <w:szCs w:val="18"/>
        </w:rPr>
        <w:t>Sistimetra</w:t>
      </w:r>
      <w:proofErr w:type="spellEnd"/>
    </w:p>
    <w:p w:rsidR="00CF77AB" w:rsidRPr="00CF77AB" w:rsidRDefault="00CF77AB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b/>
          <w:color w:val="595959" w:themeColor="text1" w:themeTint="A6"/>
          <w:sz w:val="18"/>
          <w:szCs w:val="18"/>
        </w:rPr>
        <w:t>Modelo do corpo da válvula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ab/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>D 6xxxw</w:t>
      </w:r>
    </w:p>
    <w:p w:rsidR="00CF77AB" w:rsidRPr="00CF77AB" w:rsidRDefault="00CF77AB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b/>
          <w:color w:val="595959" w:themeColor="text1" w:themeTint="A6"/>
          <w:sz w:val="18"/>
          <w:szCs w:val="18"/>
        </w:rPr>
        <w:t>Modelo do atuador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ab/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="002B0F55" w:rsidRPr="002B0F55">
        <w:rPr>
          <w:b/>
          <w:bCs/>
          <w:color w:val="595959" w:themeColor="text1" w:themeTint="A6"/>
          <w:sz w:val="18"/>
          <w:szCs w:val="18"/>
        </w:rPr>
        <w:t>PRCA-BAC-S2-T</w:t>
      </w: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1E7997" w:rsidRPr="00350C11" w:rsidRDefault="00B73304" w:rsidP="00FF730A">
      <w:pPr>
        <w:tabs>
          <w:tab w:val="left" w:leader="dot" w:pos="3402"/>
        </w:tabs>
        <w:spacing w:before="120" w:after="120" w:line="276" w:lineRule="auto"/>
        <w:rPr>
          <w:rFonts w:cstheme="minorHAnsi"/>
          <w:sz w:val="18"/>
          <w:szCs w:val="18"/>
        </w:rPr>
      </w:pPr>
      <w:r w:rsidRPr="00350C11">
        <w:rPr>
          <w:rFonts w:cstheme="minorHAnsi"/>
          <w:sz w:val="12"/>
          <w:szCs w:val="12"/>
        </w:rPr>
        <w:t>/</w:t>
      </w:r>
      <w:proofErr w:type="spellStart"/>
      <w:r w:rsidR="007159BD">
        <w:rPr>
          <w:rFonts w:cstheme="minorHAnsi"/>
          <w:sz w:val="12"/>
          <w:szCs w:val="12"/>
        </w:rPr>
        <w:t>valvulasdecontrolo</w:t>
      </w:r>
      <w:proofErr w:type="spellEnd"/>
      <w:r w:rsidR="000D0A78" w:rsidRPr="00350C11">
        <w:rPr>
          <w:rFonts w:cstheme="minorHAnsi"/>
          <w:sz w:val="12"/>
          <w:szCs w:val="12"/>
        </w:rPr>
        <w:t>/</w:t>
      </w:r>
      <w:r w:rsidR="007159BD">
        <w:rPr>
          <w:rFonts w:cstheme="minorHAnsi"/>
          <w:sz w:val="12"/>
          <w:szCs w:val="12"/>
        </w:rPr>
        <w:t>borboleta_</w:t>
      </w:r>
      <w:r w:rsidR="00F93C0F">
        <w:rPr>
          <w:rFonts w:cstheme="minorHAnsi"/>
          <w:sz w:val="12"/>
          <w:szCs w:val="12"/>
        </w:rPr>
        <w:t>DN</w:t>
      </w:r>
      <w:r w:rsidR="007159BD">
        <w:rPr>
          <w:rFonts w:cstheme="minorHAnsi"/>
          <w:sz w:val="12"/>
          <w:szCs w:val="12"/>
        </w:rPr>
        <w:t>150_300</w:t>
      </w:r>
      <w:r w:rsidR="001670F8">
        <w:rPr>
          <w:rFonts w:cstheme="minorHAnsi"/>
          <w:sz w:val="12"/>
          <w:szCs w:val="12"/>
        </w:rPr>
        <w:t>_bacnet_modbus</w:t>
      </w:r>
      <w:r w:rsidRPr="00350C11">
        <w:rPr>
          <w:rFonts w:cstheme="minorHAnsi"/>
          <w:sz w:val="12"/>
          <w:szCs w:val="12"/>
        </w:rPr>
        <w:t>.docx</w:t>
      </w:r>
    </w:p>
    <w:p w:rsidR="001E7997" w:rsidRPr="00350C11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350C11" w:rsidRDefault="001E7997" w:rsidP="00885277">
      <w:pPr>
        <w:spacing w:before="120" w:after="120" w:line="276" w:lineRule="auto"/>
        <w:rPr>
          <w:rFonts w:cstheme="minorHAnsi"/>
          <w:u w:val="single"/>
        </w:rPr>
      </w:pPr>
    </w:p>
    <w:p w:rsidR="00DE10F4" w:rsidRPr="00350C11" w:rsidRDefault="002B0F55" w:rsidP="00885277">
      <w:pPr>
        <w:spacing w:before="120" w:after="120" w:line="276" w:lineRule="auto"/>
        <w:ind w:left="-1701"/>
        <w:rPr>
          <w:rFonts w:cstheme="minorHAnsi"/>
        </w:rPr>
      </w:pPr>
    </w:p>
    <w:sectPr w:rsidR="00DE10F4" w:rsidRPr="00350C11" w:rsidSect="001E7997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80F" w:rsidRDefault="003A480F" w:rsidP="003A480F">
      <w:pPr>
        <w:spacing w:after="0" w:line="240" w:lineRule="auto"/>
      </w:pPr>
      <w:r>
        <w:separator/>
      </w:r>
    </w:p>
  </w:endnote>
  <w:end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8579309"/>
      <w:docPartObj>
        <w:docPartGallery w:val="Page Numbers (Bottom of Page)"/>
        <w:docPartUnique/>
      </w:docPartObj>
    </w:sdtPr>
    <w:sdtEndPr/>
    <w:sdtContent>
      <w:p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6658EED9" wp14:editId="7CCFE0F5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 w:rsidP="00D918BE">
                              <w:pPr>
                                <w:jc w:val="right"/>
                              </w:pPr>
                              <w:r>
                                <w:t>www.sistimetra.pt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658EED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" stroked="f">
                  <v:textbox style="mso-fit-shape-to-text:t">
                    <w:txbxContent>
                      <w:p w:rsidR="00D918BE" w:rsidRDefault="00D918BE" w:rsidP="00D918BE">
                        <w:pPr>
                          <w:jc w:val="right"/>
                        </w:pPr>
                        <w:r>
                          <w:t>www.sistimetra.pt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>
                              <w:r>
                                <w:t>www.contimetra.com</w:t>
                              </w:r>
                            </w:p>
                            <w:p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" stroked="f">
                  <v:textbox style="mso-fit-shape-to-text:t">
                    <w:txbxContent>
                      <w:p w:rsidR="00D918BE" w:rsidRDefault="00D918BE">
                        <w:r>
                          <w:t>www.contimetra.com</w:t>
                        </w:r>
                      </w:p>
                      <w:p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1250CD">
          <w:rPr>
            <w:noProof/>
          </w:rPr>
          <w:t>1</w:t>
        </w:r>
        <w:r w:rsidR="00D918BE">
          <w:fldChar w:fldCharType="end"/>
        </w:r>
      </w:p>
    </w:sdtContent>
  </w:sdt>
  <w:p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80F" w:rsidRDefault="003A480F" w:rsidP="003A480F">
      <w:pPr>
        <w:spacing w:after="0" w:line="240" w:lineRule="auto"/>
      </w:pPr>
      <w:r>
        <w:separator/>
      </w:r>
    </w:p>
  </w:footnote>
  <w:foot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:rsidR="009E4A8E" w:rsidRDefault="009E4A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56039"/>
    <w:multiLevelType w:val="hybridMultilevel"/>
    <w:tmpl w:val="81D6769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655C4"/>
    <w:multiLevelType w:val="hybridMultilevel"/>
    <w:tmpl w:val="8AB4ADF0"/>
    <w:lvl w:ilvl="0" w:tplc="9460D5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0F"/>
    <w:rsid w:val="000513B4"/>
    <w:rsid w:val="00065EEA"/>
    <w:rsid w:val="000D0A78"/>
    <w:rsid w:val="00114D17"/>
    <w:rsid w:val="001250CD"/>
    <w:rsid w:val="0014736B"/>
    <w:rsid w:val="001670F8"/>
    <w:rsid w:val="001A65EF"/>
    <w:rsid w:val="001E7997"/>
    <w:rsid w:val="001F3A1D"/>
    <w:rsid w:val="00221CF1"/>
    <w:rsid w:val="0024231E"/>
    <w:rsid w:val="00290D09"/>
    <w:rsid w:val="002B0F55"/>
    <w:rsid w:val="002D06D7"/>
    <w:rsid w:val="002F6E06"/>
    <w:rsid w:val="00350C11"/>
    <w:rsid w:val="003A480F"/>
    <w:rsid w:val="003C7D09"/>
    <w:rsid w:val="003F1FB7"/>
    <w:rsid w:val="00480D0A"/>
    <w:rsid w:val="004B7FB0"/>
    <w:rsid w:val="005E03B3"/>
    <w:rsid w:val="006305B5"/>
    <w:rsid w:val="00696F06"/>
    <w:rsid w:val="006A0E89"/>
    <w:rsid w:val="006A3B53"/>
    <w:rsid w:val="006F51F3"/>
    <w:rsid w:val="006F7414"/>
    <w:rsid w:val="00714122"/>
    <w:rsid w:val="007159BD"/>
    <w:rsid w:val="00765C50"/>
    <w:rsid w:val="007D4F2A"/>
    <w:rsid w:val="00885277"/>
    <w:rsid w:val="008B185A"/>
    <w:rsid w:val="008E1C41"/>
    <w:rsid w:val="008F2FCA"/>
    <w:rsid w:val="0099670E"/>
    <w:rsid w:val="009C3571"/>
    <w:rsid w:val="009D6CEF"/>
    <w:rsid w:val="009E4A8E"/>
    <w:rsid w:val="00A078D6"/>
    <w:rsid w:val="00AE6201"/>
    <w:rsid w:val="00B10019"/>
    <w:rsid w:val="00B42024"/>
    <w:rsid w:val="00B722B7"/>
    <w:rsid w:val="00B73304"/>
    <w:rsid w:val="00B96C4D"/>
    <w:rsid w:val="00C41D0D"/>
    <w:rsid w:val="00C623D5"/>
    <w:rsid w:val="00CF77AB"/>
    <w:rsid w:val="00D03C0C"/>
    <w:rsid w:val="00D32211"/>
    <w:rsid w:val="00D46A48"/>
    <w:rsid w:val="00D85DF1"/>
    <w:rsid w:val="00D918BE"/>
    <w:rsid w:val="00DC18E0"/>
    <w:rsid w:val="00DD4426"/>
    <w:rsid w:val="00E20B4F"/>
    <w:rsid w:val="00F01F96"/>
    <w:rsid w:val="00F3525F"/>
    <w:rsid w:val="00F7484B"/>
    <w:rsid w:val="00F77ACA"/>
    <w:rsid w:val="00F93C0F"/>
    <w:rsid w:val="00FA2E37"/>
    <w:rsid w:val="00FC7518"/>
    <w:rsid w:val="00FC7ED2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5:chartTrackingRefBased/>
  <w15:docId w15:val="{CA7BF5D6-D3CB-47CC-A363-CB9E378C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Tipodeletrapredefinidodopargrafo"/>
    <w:uiPriority w:val="22"/>
    <w:qFormat/>
    <w:rsid w:val="008F2FCA"/>
    <w:rPr>
      <w:b/>
      <w:bCs/>
    </w:rPr>
  </w:style>
  <w:style w:type="paragraph" w:styleId="PargrafodaLista">
    <w:name w:val="List Paragraph"/>
    <w:basedOn w:val="Normal"/>
    <w:uiPriority w:val="34"/>
    <w:qFormat/>
    <w:rsid w:val="008F2FCA"/>
    <w:pPr>
      <w:spacing w:line="36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24B52-7711-4F4D-98C0-2F4E8A023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408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4</cp:revision>
  <dcterms:created xsi:type="dcterms:W3CDTF">2022-03-09T09:17:00Z</dcterms:created>
  <dcterms:modified xsi:type="dcterms:W3CDTF">2022-03-09T10:26:00Z</dcterms:modified>
</cp:coreProperties>
</file>