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172F2F" w:rsidRPr="00172F2F" w:rsidRDefault="00172F2F" w:rsidP="00172F2F">
      <w:pPr>
        <w:spacing w:after="0" w:line="360" w:lineRule="auto"/>
        <w:jc w:val="both"/>
        <w:rPr>
          <w:rFonts w:eastAsia="Times New Roman" w:cs="Calibri"/>
          <w:b/>
          <w:sz w:val="28"/>
          <w:szCs w:val="28"/>
          <w:lang w:eastAsia="pt-PT"/>
        </w:rPr>
      </w:pPr>
      <w:r w:rsidRPr="00172F2F">
        <w:rPr>
          <w:rFonts w:eastAsia="Times New Roman" w:cs="Calibri"/>
          <w:b/>
          <w:sz w:val="28"/>
          <w:szCs w:val="28"/>
          <w:lang w:eastAsia="pt-PT"/>
        </w:rPr>
        <w:t>Sensor e transmissor da velocidade e direção do vento</w:t>
      </w:r>
    </w:p>
    <w:p w:rsidR="001E7997" w:rsidRPr="00350C11" w:rsidRDefault="001A65EF" w:rsidP="00885277">
      <w:pPr>
        <w:tabs>
          <w:tab w:val="left" w:pos="9540"/>
        </w:tabs>
        <w:spacing w:before="120" w:after="12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1E7997" w:rsidRPr="00350C11">
        <w:rPr>
          <w:rFonts w:cstheme="minorHAnsi"/>
          <w:b/>
          <w:sz w:val="24"/>
          <w:szCs w:val="24"/>
        </w:rPr>
        <w:t>Descrição</w:t>
      </w:r>
    </w:p>
    <w:p w:rsidR="00172F2F" w:rsidRPr="00172F2F" w:rsidRDefault="00172F2F" w:rsidP="00172F2F">
      <w:pPr>
        <w:spacing w:line="360" w:lineRule="auto"/>
        <w:jc w:val="both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172F2F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Sensor e transmissor da velocidade e direção do vento a instalar no local indicado nas peças desenhadas, destinados à transmissão remota destas duas variáveis a controladores/unidades de monitorização e visualização compatíveis.</w:t>
      </w:r>
    </w:p>
    <w:p w:rsidR="00172F2F" w:rsidRPr="00172F2F" w:rsidRDefault="00172F2F" w:rsidP="00172F2F">
      <w:pPr>
        <w:spacing w:after="0" w:line="360" w:lineRule="auto"/>
        <w:jc w:val="both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172F2F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Será constituído por três componentes:</w:t>
      </w:r>
    </w:p>
    <w:p w:rsidR="00172F2F" w:rsidRPr="00172F2F" w:rsidRDefault="00172F2F" w:rsidP="00172F2F">
      <w:pPr>
        <w:numPr>
          <w:ilvl w:val="0"/>
          <w:numId w:val="1"/>
        </w:numPr>
        <w:spacing w:after="0" w:line="360" w:lineRule="auto"/>
        <w:ind w:left="284" w:hanging="142"/>
        <w:jc w:val="both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172F2F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Unidade exterior de deteção da velocidade e direção do vento.</w:t>
      </w:r>
    </w:p>
    <w:p w:rsidR="00172F2F" w:rsidRPr="00172F2F" w:rsidRDefault="00172F2F" w:rsidP="00172F2F">
      <w:pPr>
        <w:numPr>
          <w:ilvl w:val="0"/>
          <w:numId w:val="1"/>
        </w:numPr>
        <w:spacing w:after="0" w:line="360" w:lineRule="auto"/>
        <w:ind w:left="284" w:hanging="142"/>
        <w:jc w:val="both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172F2F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Unidade de controlo – de alimentação e conversão de sinais a colocar em zona ao abrigo da intempérie.</w:t>
      </w:r>
    </w:p>
    <w:p w:rsidR="00172F2F" w:rsidRPr="00172F2F" w:rsidRDefault="00172F2F" w:rsidP="00172F2F">
      <w:pPr>
        <w:numPr>
          <w:ilvl w:val="0"/>
          <w:numId w:val="1"/>
        </w:numPr>
        <w:spacing w:after="0" w:line="360" w:lineRule="auto"/>
        <w:ind w:left="284" w:hanging="142"/>
        <w:jc w:val="both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172F2F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Cabo elétrico para interligar os dois componentes anteriores (até 25 m).</w:t>
      </w:r>
    </w:p>
    <w:p w:rsidR="00B928D3" w:rsidRDefault="00B928D3" w:rsidP="00B928D3">
      <w:pPr>
        <w:spacing w:line="360" w:lineRule="auto"/>
        <w:rPr>
          <w:rFonts w:cstheme="minorHAnsi"/>
          <w:b/>
          <w:sz w:val="24"/>
          <w:szCs w:val="24"/>
        </w:rPr>
      </w:pPr>
    </w:p>
    <w:p w:rsidR="00B928D3" w:rsidRDefault="00B928D3" w:rsidP="00B928D3">
      <w:pPr>
        <w:spacing w:line="360" w:lineRule="auto"/>
        <w:rPr>
          <w:rFonts w:cstheme="minorHAnsi"/>
          <w:b/>
          <w:sz w:val="18"/>
          <w:szCs w:val="18"/>
        </w:rPr>
      </w:pPr>
      <w:r w:rsidRPr="00350C11">
        <w:rPr>
          <w:rFonts w:cstheme="minorHAnsi"/>
          <w:b/>
          <w:sz w:val="24"/>
          <w:szCs w:val="24"/>
        </w:rPr>
        <w:t>Características técnicas principais</w:t>
      </w:r>
      <w:r>
        <w:rPr>
          <w:rFonts w:cstheme="minorHAnsi"/>
          <w:b/>
          <w:sz w:val="24"/>
          <w:szCs w:val="24"/>
        </w:rPr>
        <w:br/>
      </w:r>
      <w:r w:rsidRPr="00350C11">
        <w:rPr>
          <w:rFonts w:cstheme="minorHAnsi"/>
          <w:b/>
          <w:color w:val="000000" w:themeColor="text1"/>
        </w:rPr>
        <w:t xml:space="preserve">Modelo: </w:t>
      </w:r>
      <w:r w:rsidR="00172F2F">
        <w:rPr>
          <w:rFonts w:cstheme="minorHAnsi"/>
          <w:b/>
          <w:sz w:val="18"/>
          <w:szCs w:val="18"/>
        </w:rPr>
        <w:t>EWSD-10</w:t>
      </w:r>
    </w:p>
    <w:p w:rsidR="0020406D" w:rsidRPr="0020406D" w:rsidRDefault="0020406D" w:rsidP="00353DE0">
      <w:pPr>
        <w:tabs>
          <w:tab w:val="left" w:leader="dot" w:pos="2835"/>
        </w:tabs>
        <w:spacing w:after="0" w:line="280" w:lineRule="exact"/>
        <w:ind w:left="2835" w:hanging="2835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Sensor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ab/>
        <w:t>Velocidade do vento: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br/>
        <w:t>Por efeito de hall através de um interruptor magnético ativado por ímanes ligados a 3 copos dispostos radialmente e equidistantes (120º).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br/>
        <w:t>Direção do vento: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br/>
        <w:t>Através da orientação (0 a 360º) de um cata-vento.</w:t>
      </w:r>
    </w:p>
    <w:p w:rsidR="0020406D" w:rsidRPr="0020406D" w:rsidRDefault="0020406D" w:rsidP="00353DE0">
      <w:pPr>
        <w:tabs>
          <w:tab w:val="left" w:leader="dot" w:pos="2835"/>
          <w:tab w:val="left" w:pos="3828"/>
        </w:tabs>
        <w:spacing w:after="0" w:line="280" w:lineRule="exact"/>
        <w:ind w:left="2835" w:hanging="2835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Gamas de medida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ab/>
        <w:t>velocidade: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ab/>
        <w:t>0 a 50 m/s (0 a 180 Km/h)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br/>
        <w:t xml:space="preserve">direção: 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ab/>
        <w:t>0º (N) a 360º (N)</w:t>
      </w:r>
    </w:p>
    <w:p w:rsidR="0020406D" w:rsidRPr="0020406D" w:rsidRDefault="0020406D" w:rsidP="00353DE0">
      <w:pPr>
        <w:tabs>
          <w:tab w:val="left" w:leader="dot" w:pos="2835"/>
        </w:tabs>
        <w:spacing w:after="0" w:line="280" w:lineRule="exact"/>
        <w:ind w:left="2835" w:hanging="2835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Resolução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ab/>
        <w:t>velocidade:</w:t>
      </w:r>
      <w:r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 xml:space="preserve"> 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 xml:space="preserve">0,5 m/s; 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br/>
        <w:t>direção: 1º</w:t>
      </w:r>
    </w:p>
    <w:p w:rsidR="0020406D" w:rsidRPr="0020406D" w:rsidRDefault="0020406D" w:rsidP="00353DE0">
      <w:pPr>
        <w:tabs>
          <w:tab w:val="left" w:leader="dot" w:pos="2835"/>
        </w:tabs>
        <w:spacing w:after="0" w:line="280" w:lineRule="exact"/>
        <w:ind w:left="2835" w:hanging="2835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Alimentação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ab/>
        <w:t>24 VCA /CC</w:t>
      </w:r>
    </w:p>
    <w:p w:rsidR="0020406D" w:rsidRPr="0020406D" w:rsidRDefault="0020406D" w:rsidP="00353DE0">
      <w:pPr>
        <w:tabs>
          <w:tab w:val="left" w:leader="dot" w:pos="2835"/>
          <w:tab w:val="left" w:pos="3828"/>
        </w:tabs>
        <w:spacing w:after="0" w:line="280" w:lineRule="exact"/>
        <w:ind w:left="2835" w:hanging="2835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Saídas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ab/>
        <w:t>velocidade: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ab/>
        <w:t>0 – 10 VCC (0 a 50 m/s, linear)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br/>
        <w:t xml:space="preserve">direção: 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ab/>
        <w:t>0 – 10 VCC (0V=10º ; 5V=180º (Sul); 10V=360º (Norte), linear)</w:t>
      </w:r>
    </w:p>
    <w:p w:rsidR="0020406D" w:rsidRPr="0020406D" w:rsidRDefault="0020406D" w:rsidP="00353DE0">
      <w:pPr>
        <w:tabs>
          <w:tab w:val="left" w:leader="dot" w:pos="2835"/>
        </w:tabs>
        <w:spacing w:after="0" w:line="280" w:lineRule="exact"/>
        <w:ind w:left="2835" w:hanging="2835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Condições ambientais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ab/>
        <w:t>-20 a 70ºC; 0a 100% Hr</w:t>
      </w:r>
    </w:p>
    <w:p w:rsidR="0020406D" w:rsidRPr="0020406D" w:rsidRDefault="0020406D" w:rsidP="00353DE0">
      <w:pPr>
        <w:tabs>
          <w:tab w:val="left" w:leader="dot" w:pos="2835"/>
        </w:tabs>
        <w:spacing w:after="0" w:line="280" w:lineRule="exact"/>
        <w:ind w:left="2835" w:hanging="2835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Grau de proteção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ab/>
        <w:t>sensor: IP65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br/>
        <w:t>Caixa de controlo: IP30</w:t>
      </w:r>
    </w:p>
    <w:p w:rsidR="0020406D" w:rsidRPr="0020406D" w:rsidRDefault="0020406D" w:rsidP="00353DE0">
      <w:pPr>
        <w:tabs>
          <w:tab w:val="left" w:leader="dot" w:pos="2835"/>
        </w:tabs>
        <w:spacing w:after="0" w:line="280" w:lineRule="exact"/>
        <w:ind w:left="2835" w:hanging="2835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Dimensões – sensor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ab/>
        <w:t>altura: 160 mm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br/>
        <w:t>diâmetro: 145 mm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br/>
        <w:t>espaço livre a partir do mastro: 240 mm</w:t>
      </w:r>
    </w:p>
    <w:p w:rsidR="0020406D" w:rsidRPr="0020406D" w:rsidRDefault="0020406D" w:rsidP="00353DE0">
      <w:pPr>
        <w:tabs>
          <w:tab w:val="left" w:leader="dot" w:pos="2835"/>
        </w:tabs>
        <w:spacing w:after="0" w:line="280" w:lineRule="exact"/>
        <w:ind w:left="2835" w:hanging="2835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Dimensões – caixa de controlo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ab/>
        <w:t>114 (altura) x 68 (largura) x 25 (profundidade)</w:t>
      </w:r>
    </w:p>
    <w:p w:rsidR="0020406D" w:rsidRPr="0020406D" w:rsidRDefault="0020406D" w:rsidP="00353DE0">
      <w:pPr>
        <w:tabs>
          <w:tab w:val="left" w:leader="dot" w:pos="2835"/>
        </w:tabs>
        <w:spacing w:after="0" w:line="280" w:lineRule="exact"/>
        <w:ind w:left="2835" w:hanging="2835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Montagem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ab/>
        <w:t>num mastro metálico com Ø30 a 50 mm livre de obstáculos ao redor.</w:t>
      </w:r>
    </w:p>
    <w:p w:rsidR="0020406D" w:rsidRPr="0020406D" w:rsidRDefault="0020406D" w:rsidP="00353DE0">
      <w:pPr>
        <w:tabs>
          <w:tab w:val="left" w:leader="dot" w:pos="2835"/>
        </w:tabs>
        <w:spacing w:after="0" w:line="280" w:lineRule="exact"/>
        <w:ind w:left="2835" w:hanging="2835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Cabo de interligação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ab/>
        <w:t>do sensor à caixa de controlo – cabo blindado 4 condutores, L=25 m</w:t>
      </w:r>
    </w:p>
    <w:p w:rsidR="0020406D" w:rsidRPr="0020406D" w:rsidRDefault="0020406D" w:rsidP="00353DE0">
      <w:pPr>
        <w:tabs>
          <w:tab w:val="left" w:leader="dot" w:pos="2835"/>
        </w:tabs>
        <w:spacing w:after="0" w:line="280" w:lineRule="exact"/>
        <w:ind w:left="2835" w:hanging="2835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Materiais – sensor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ab/>
        <w:t>catavento: alumínio anodizado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br/>
        <w:t>corpo da estrutura: aço inox</w:t>
      </w:r>
      <w:r w:rsidRPr="0020406D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br/>
        <w:t>copos: polipropileno</w:t>
      </w:r>
    </w:p>
    <w:p w:rsidR="0039109E" w:rsidRDefault="0039109E" w:rsidP="00353DE0">
      <w:pPr>
        <w:tabs>
          <w:tab w:val="left" w:pos="9540"/>
        </w:tabs>
        <w:spacing w:before="120" w:after="120" w:line="280" w:lineRule="exact"/>
        <w:rPr>
          <w:rFonts w:cstheme="minorHAnsi"/>
          <w:b/>
        </w:rPr>
        <w:sectPr w:rsidR="0039109E" w:rsidSect="001E7997">
          <w:headerReference w:type="default" r:id="rId9"/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353DE0" w:rsidRDefault="00353DE0" w:rsidP="00353DE0">
      <w:pPr>
        <w:tabs>
          <w:tab w:val="left" w:pos="9540"/>
        </w:tabs>
        <w:spacing w:before="120" w:after="120" w:line="276" w:lineRule="auto"/>
        <w:jc w:val="center"/>
        <w:rPr>
          <w:rFonts w:cstheme="minorHAnsi"/>
          <w:b/>
        </w:rPr>
      </w:pPr>
      <w:r>
        <w:object w:dxaOrig="3354" w:dyaOrig="2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67.7pt;height:146.85pt" o:ole="">
            <v:imagedata r:id="rId11" o:title=""/>
          </v:shape>
          <o:OLEObject Type="Embed" ProgID="CorelDraw.Graphic.19" ShapeID="_x0000_i1036" DrawAspect="Content" ObjectID="_1703402073" r:id="rId12"/>
        </w:object>
      </w:r>
    </w:p>
    <w:p w:rsidR="001E7997" w:rsidRPr="00350C11" w:rsidRDefault="001E7997" w:rsidP="00885277">
      <w:pPr>
        <w:tabs>
          <w:tab w:val="left" w:pos="9540"/>
        </w:tabs>
        <w:spacing w:before="120" w:after="120" w:line="276" w:lineRule="auto"/>
        <w:rPr>
          <w:rFonts w:cstheme="minorHAnsi"/>
          <w:b/>
        </w:rPr>
      </w:pPr>
      <w:r w:rsidRPr="00350C11">
        <w:rPr>
          <w:rFonts w:cstheme="minorHAnsi"/>
          <w:b/>
        </w:rPr>
        <w:t>Montagem</w:t>
      </w:r>
    </w:p>
    <w:p w:rsidR="00353DE0" w:rsidRPr="00353DE0" w:rsidRDefault="00353DE0" w:rsidP="00353DE0">
      <w:pPr>
        <w:spacing w:line="360" w:lineRule="auto"/>
        <w:jc w:val="both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353DE0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O local de montagem deverá ser, “à priori”, aquele que é indicado nas peças desenhadas, cabendo à entidade fiscalizadora a localização exata tendo em linha de conta o objetivo a atingir. Como norma deverá ser montado num mastro metálico, com diâmetro entre 30 a 50 mm, em local “livre” (afastado de obstáculos tais como; árvores, outros edifícios, chaminés, etc.) com o suporte, em forma de cotovelo, direcionado, exatamente, a Norte.</w:t>
      </w:r>
    </w:p>
    <w:p w:rsidR="00353DE0" w:rsidRDefault="00353DE0" w:rsidP="00353DE0">
      <w:pPr>
        <w:spacing w:line="360" w:lineRule="auto"/>
        <w:jc w:val="both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353DE0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Deverão, contudo, ser seguidas as instruções de montagem do fabricante.</w:t>
      </w:r>
    </w:p>
    <w:p w:rsidR="00353DE0" w:rsidRPr="00353DE0" w:rsidRDefault="00353DE0" w:rsidP="00353DE0">
      <w:pPr>
        <w:spacing w:line="360" w:lineRule="auto"/>
        <w:jc w:val="both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</w:p>
    <w:p w:rsidR="001E7997" w:rsidRPr="00350C11" w:rsidRDefault="001E7997" w:rsidP="0039109E">
      <w:pPr>
        <w:spacing w:before="240" w:line="360" w:lineRule="auto"/>
        <w:jc w:val="both"/>
        <w:rPr>
          <w:rFonts w:cstheme="minorHAnsi"/>
          <w:sz w:val="18"/>
          <w:szCs w:val="18"/>
        </w:rPr>
      </w:pPr>
      <w:r w:rsidRPr="00350C11">
        <w:rPr>
          <w:rFonts w:cstheme="minorHAnsi"/>
          <w:b/>
        </w:rPr>
        <w:t>Cabos de ligação</w:t>
      </w:r>
    </w:p>
    <w:p w:rsidR="00353DE0" w:rsidRPr="00353DE0" w:rsidRDefault="00353DE0" w:rsidP="00353DE0">
      <w:pPr>
        <w:spacing w:after="0" w:line="360" w:lineRule="auto"/>
        <w:jc w:val="both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353DE0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É de vital importância o tipo de cabo a usar na ligação da unidade de controlo aos respetivos controladores/unidades de monitorização e visualização e a sua instalação:</w:t>
      </w:r>
    </w:p>
    <w:p w:rsidR="001E7997" w:rsidRPr="00350C11" w:rsidRDefault="001E7997" w:rsidP="005E03B3">
      <w:pPr>
        <w:tabs>
          <w:tab w:val="left" w:pos="1134"/>
        </w:tabs>
        <w:spacing w:before="120" w:after="120" w:line="276" w:lineRule="auto"/>
        <w:ind w:left="1418" w:hanging="1418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350C11">
        <w:rPr>
          <w:rFonts w:cstheme="minorHAnsi"/>
          <w:color w:val="000000" w:themeColor="text1"/>
          <w:sz w:val="18"/>
          <w:szCs w:val="18"/>
          <w:u w:val="single"/>
        </w:rPr>
        <w:t>Tipo de cabo</w:t>
      </w:r>
      <w:r w:rsidRPr="00350C11">
        <w:rPr>
          <w:rFonts w:cstheme="minorHAnsi"/>
          <w:color w:val="000000" w:themeColor="text1"/>
          <w:sz w:val="18"/>
          <w:szCs w:val="18"/>
        </w:rPr>
        <w:t xml:space="preserve"> 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ab/>
      </w:r>
      <w:r w:rsidRPr="00350C11">
        <w:rPr>
          <w:rFonts w:cstheme="minorHAnsi"/>
          <w:color w:val="595959" w:themeColor="text1" w:themeTint="A6"/>
          <w:sz w:val="18"/>
          <w:szCs w:val="18"/>
        </w:rPr>
        <w:t>-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Pr="00350C11">
        <w:rPr>
          <w:rFonts w:cstheme="minorHAnsi"/>
          <w:color w:val="595959" w:themeColor="text1" w:themeTint="A6"/>
          <w:sz w:val="18"/>
          <w:szCs w:val="18"/>
        </w:rPr>
        <w:t>LiHCH ou equivalente (sem halogéneos)</w:t>
      </w:r>
    </w:p>
    <w:p w:rsidR="001E7997" w:rsidRPr="00353DE0" w:rsidRDefault="001E7997" w:rsidP="005E03B3">
      <w:pPr>
        <w:tabs>
          <w:tab w:val="left" w:pos="1134"/>
        </w:tabs>
        <w:spacing w:before="120" w:after="120" w:line="276" w:lineRule="auto"/>
        <w:ind w:left="1134" w:hanging="1134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350C11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Pr="00350C11">
        <w:rPr>
          <w:rFonts w:cstheme="minorHAnsi"/>
          <w:color w:val="595959" w:themeColor="text1" w:themeTint="A6"/>
          <w:sz w:val="18"/>
          <w:szCs w:val="18"/>
        </w:rPr>
        <w:tab/>
        <w:t xml:space="preserve">- </w:t>
      </w:r>
      <w:r w:rsidR="00353DE0" w:rsidRPr="00353DE0">
        <w:rPr>
          <w:rFonts w:cs="Calibri"/>
          <w:color w:val="595959" w:themeColor="text1" w:themeTint="A6"/>
          <w:sz w:val="18"/>
          <w:szCs w:val="18"/>
        </w:rPr>
        <w:t>Número de condutores: 6 (mínimo Ø0,5 mm</w:t>
      </w:r>
      <w:r w:rsidR="00353DE0" w:rsidRPr="00353DE0">
        <w:rPr>
          <w:rFonts w:cs="Calibri"/>
          <w:color w:val="595959" w:themeColor="text1" w:themeTint="A6"/>
          <w:sz w:val="18"/>
          <w:szCs w:val="18"/>
          <w:vertAlign w:val="superscript"/>
        </w:rPr>
        <w:t>2</w:t>
      </w:r>
      <w:r w:rsidR="00353DE0" w:rsidRPr="00353DE0">
        <w:rPr>
          <w:rFonts w:cs="Calibri"/>
          <w:color w:val="595959" w:themeColor="text1" w:themeTint="A6"/>
          <w:sz w:val="18"/>
          <w:szCs w:val="18"/>
        </w:rPr>
        <w:t>; comprimento máximo 100 m)</w:t>
      </w:r>
    </w:p>
    <w:p w:rsidR="009E4A8E" w:rsidRPr="00350C11" w:rsidRDefault="001E7997" w:rsidP="00DD4426">
      <w:pPr>
        <w:tabs>
          <w:tab w:val="left" w:pos="1134"/>
        </w:tabs>
        <w:spacing w:before="120" w:after="120" w:line="276" w:lineRule="auto"/>
        <w:ind w:left="1134" w:hanging="1134"/>
        <w:rPr>
          <w:rFonts w:cstheme="minorHAnsi"/>
          <w:color w:val="595959" w:themeColor="text1" w:themeTint="A6"/>
          <w:sz w:val="18"/>
          <w:szCs w:val="18"/>
        </w:rPr>
      </w:pPr>
      <w:r w:rsidRPr="00350C11">
        <w:rPr>
          <w:rFonts w:cstheme="minorHAnsi"/>
          <w:color w:val="000000" w:themeColor="text1"/>
          <w:sz w:val="18"/>
          <w:szCs w:val="18"/>
          <w:u w:val="single"/>
        </w:rPr>
        <w:t>Instalação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ab/>
        <w:t xml:space="preserve">- </w:t>
      </w:r>
      <w:r w:rsidRPr="00350C11">
        <w:rPr>
          <w:rFonts w:cstheme="minorHAnsi"/>
          <w:color w:val="595959" w:themeColor="text1" w:themeTint="A6"/>
          <w:sz w:val="18"/>
          <w:szCs w:val="18"/>
        </w:rPr>
        <w:t>Isoladamente, em canalização própria, ou em esteiras de “correntes fracas” – nunca em esteiras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Pr="00350C11">
        <w:rPr>
          <w:rFonts w:cstheme="minorHAnsi"/>
          <w:color w:val="595959" w:themeColor="text1" w:themeTint="A6"/>
          <w:sz w:val="18"/>
          <w:szCs w:val="18"/>
        </w:rPr>
        <w:t>ou tubagens onde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br/>
        <w:t xml:space="preserve">  passem</w:t>
      </w:r>
      <w:r w:rsidRPr="00350C11">
        <w:rPr>
          <w:rFonts w:cstheme="minorHAnsi"/>
          <w:color w:val="595959" w:themeColor="text1" w:themeTint="A6"/>
          <w:sz w:val="18"/>
          <w:szCs w:val="18"/>
        </w:rPr>
        <w:t xml:space="preserve"> cabos de potência.</w:t>
      </w:r>
    </w:p>
    <w:p w:rsidR="00D85DF1" w:rsidRDefault="00D85DF1" w:rsidP="005E03B3">
      <w:pPr>
        <w:tabs>
          <w:tab w:val="left" w:pos="1134"/>
        </w:tabs>
        <w:spacing w:before="120" w:after="120" w:line="276" w:lineRule="auto"/>
        <w:ind w:left="1134" w:hanging="1134"/>
        <w:rPr>
          <w:rFonts w:cstheme="minorHAnsi"/>
          <w:b/>
          <w:sz w:val="18"/>
          <w:szCs w:val="18"/>
        </w:rPr>
      </w:pPr>
      <w:bookmarkStart w:id="0" w:name="_GoBack"/>
      <w:bookmarkEnd w:id="0"/>
    </w:p>
    <w:p w:rsidR="006305B5" w:rsidRPr="00350C11" w:rsidRDefault="006305B5" w:rsidP="005E03B3">
      <w:pPr>
        <w:tabs>
          <w:tab w:val="left" w:pos="1134"/>
        </w:tabs>
        <w:spacing w:before="120" w:after="120" w:line="276" w:lineRule="auto"/>
        <w:ind w:left="1134" w:hanging="1134"/>
        <w:rPr>
          <w:rFonts w:cstheme="minorHAnsi"/>
          <w:b/>
          <w:sz w:val="18"/>
          <w:szCs w:val="18"/>
        </w:rPr>
      </w:pPr>
    </w:p>
    <w:p w:rsidR="001E7997" w:rsidRPr="00350C11" w:rsidRDefault="001E7997" w:rsidP="0014736B">
      <w:pPr>
        <w:tabs>
          <w:tab w:val="left" w:leader="dot" w:pos="3402"/>
        </w:tabs>
        <w:spacing w:before="120" w:after="120" w:line="276" w:lineRule="auto"/>
        <w:ind w:left="1134" w:hanging="1134"/>
        <w:rPr>
          <w:rFonts w:cstheme="minorHAnsi"/>
          <w:b/>
          <w:sz w:val="18"/>
          <w:szCs w:val="18"/>
        </w:rPr>
      </w:pPr>
      <w:r w:rsidRPr="00350C11">
        <w:rPr>
          <w:rFonts w:cstheme="minorHAnsi"/>
          <w:b/>
          <w:sz w:val="18"/>
          <w:szCs w:val="18"/>
        </w:rPr>
        <w:t>Marca de referência</w:t>
      </w:r>
      <w:r w:rsidRPr="00350C11">
        <w:rPr>
          <w:rFonts w:cstheme="minorHAnsi"/>
          <w:sz w:val="18"/>
          <w:szCs w:val="18"/>
        </w:rPr>
        <w:tab/>
        <w:t xml:space="preserve"> </w:t>
      </w:r>
      <w:r w:rsidR="00353DE0" w:rsidRPr="00D253BA">
        <w:rPr>
          <w:rFonts w:cs="Calibri"/>
          <w:b/>
          <w:sz w:val="18"/>
          <w:szCs w:val="18"/>
        </w:rPr>
        <w:t>Electro Controls</w:t>
      </w:r>
    </w:p>
    <w:p w:rsidR="001E7997" w:rsidRPr="00350C11" w:rsidRDefault="001E799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  <w:r w:rsidRPr="00350C11">
        <w:rPr>
          <w:rFonts w:cstheme="minorHAnsi"/>
          <w:b/>
          <w:sz w:val="18"/>
          <w:szCs w:val="18"/>
        </w:rPr>
        <w:t>Distribuidor</w:t>
      </w:r>
      <w:r w:rsidRPr="00350C11">
        <w:rPr>
          <w:rFonts w:cstheme="minorHAnsi"/>
          <w:sz w:val="18"/>
          <w:szCs w:val="18"/>
        </w:rPr>
        <w:tab/>
        <w:t xml:space="preserve"> </w:t>
      </w:r>
      <w:r w:rsidRPr="00350C11">
        <w:rPr>
          <w:rFonts w:cstheme="minorHAnsi"/>
          <w:b/>
          <w:sz w:val="18"/>
          <w:szCs w:val="18"/>
        </w:rPr>
        <w:t>Contimetra / Sistimetra</w:t>
      </w:r>
    </w:p>
    <w:p w:rsidR="00B42024" w:rsidRPr="00350C11" w:rsidRDefault="00B42024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:rsidR="00B42024" w:rsidRPr="00350C11" w:rsidRDefault="00B73304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sz w:val="12"/>
          <w:szCs w:val="12"/>
        </w:rPr>
      </w:pPr>
      <w:r w:rsidRPr="00350C11">
        <w:rPr>
          <w:rFonts w:cstheme="minorHAnsi"/>
          <w:sz w:val="12"/>
          <w:szCs w:val="12"/>
        </w:rPr>
        <w:t>/</w:t>
      </w:r>
      <w:r w:rsidR="000D0A78" w:rsidRPr="00350C11">
        <w:rPr>
          <w:rFonts w:cstheme="minorHAnsi"/>
          <w:sz w:val="12"/>
          <w:szCs w:val="12"/>
        </w:rPr>
        <w:t>Sensores/</w:t>
      </w:r>
      <w:r w:rsidR="00172F2F">
        <w:rPr>
          <w:rFonts w:cstheme="minorHAnsi"/>
          <w:sz w:val="12"/>
          <w:szCs w:val="12"/>
        </w:rPr>
        <w:t>EWSD</w:t>
      </w:r>
      <w:r w:rsidRPr="00350C11">
        <w:rPr>
          <w:rFonts w:cstheme="minorHAnsi"/>
          <w:sz w:val="12"/>
          <w:szCs w:val="12"/>
        </w:rPr>
        <w:t>.docx</w:t>
      </w:r>
    </w:p>
    <w:p w:rsidR="001E7997" w:rsidRPr="00350C11" w:rsidRDefault="001E7997" w:rsidP="00FF730A">
      <w:pPr>
        <w:tabs>
          <w:tab w:val="left" w:leader="dot" w:pos="3402"/>
        </w:tabs>
        <w:spacing w:before="120" w:after="120" w:line="276" w:lineRule="auto"/>
        <w:rPr>
          <w:rFonts w:cstheme="minorHAnsi"/>
          <w:sz w:val="18"/>
          <w:szCs w:val="18"/>
        </w:rPr>
      </w:pPr>
    </w:p>
    <w:p w:rsidR="001E7997" w:rsidRPr="00350C11" w:rsidRDefault="001E7997" w:rsidP="00885277">
      <w:pPr>
        <w:tabs>
          <w:tab w:val="left" w:leader="dot" w:pos="3686"/>
        </w:tabs>
        <w:spacing w:before="120" w:after="120" w:line="276" w:lineRule="auto"/>
        <w:rPr>
          <w:rFonts w:cstheme="minorHAnsi"/>
          <w:sz w:val="18"/>
          <w:szCs w:val="18"/>
        </w:rPr>
      </w:pPr>
    </w:p>
    <w:p w:rsidR="001E7997" w:rsidRPr="00350C11" w:rsidRDefault="001E7997" w:rsidP="00885277">
      <w:pPr>
        <w:spacing w:before="120" w:after="120" w:line="276" w:lineRule="auto"/>
        <w:rPr>
          <w:rFonts w:cstheme="minorHAnsi"/>
          <w:u w:val="single"/>
        </w:rPr>
      </w:pPr>
    </w:p>
    <w:p w:rsidR="00DE10F4" w:rsidRPr="00350C11" w:rsidRDefault="00353DE0" w:rsidP="00885277">
      <w:pPr>
        <w:spacing w:before="120" w:after="120" w:line="276" w:lineRule="auto"/>
        <w:ind w:left="-1701"/>
        <w:rPr>
          <w:rFonts w:cstheme="minorHAnsi"/>
        </w:rPr>
      </w:pPr>
    </w:p>
    <w:sectPr w:rsidR="00DE10F4" w:rsidRPr="00350C11" w:rsidSect="001E79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579309"/>
      <w:docPartObj>
        <w:docPartGallery w:val="Page Numbers (Bottom of Page)"/>
        <w:docPartUnique/>
      </w:docPartObj>
    </w:sdtPr>
    <w:sdtEndPr/>
    <w:sdtContent>
      <w:p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6658EED9" wp14:editId="7CCFE0F5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658EED9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        <v:textbox style="mso-fit-shape-to-text:t">
                    <w:txbxContent>
                      <w:p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>
                              <w:r>
                                <w:t>www.contimetra.com</w:t>
                              </w:r>
                            </w:p>
                            <w:p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        <v:textbox style="mso-fit-shape-to-text:t">
                    <w:txbxContent>
                      <w:p w:rsidR="00D918BE" w:rsidRDefault="00D918BE">
                        <w:r>
                          <w:t>www.contimetra.com</w:t>
                        </w:r>
                      </w:p>
                      <w:p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353DE0">
          <w:rPr>
            <w:noProof/>
          </w:rPr>
          <w:t>1</w:t>
        </w:r>
        <w:r w:rsidR="00D918BE">
          <w:fldChar w:fldCharType="end"/>
        </w:r>
      </w:p>
    </w:sdtContent>
  </w:sdt>
  <w:p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96A63"/>
    <w:multiLevelType w:val="hybridMultilevel"/>
    <w:tmpl w:val="391676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4536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0F"/>
    <w:rsid w:val="00065EEA"/>
    <w:rsid w:val="000B72E2"/>
    <w:rsid w:val="000D0A78"/>
    <w:rsid w:val="00114D17"/>
    <w:rsid w:val="001250CD"/>
    <w:rsid w:val="0014736B"/>
    <w:rsid w:val="00172F2F"/>
    <w:rsid w:val="00181233"/>
    <w:rsid w:val="001A65EF"/>
    <w:rsid w:val="001E7997"/>
    <w:rsid w:val="001F3A1D"/>
    <w:rsid w:val="0020406D"/>
    <w:rsid w:val="00221CF1"/>
    <w:rsid w:val="0024231E"/>
    <w:rsid w:val="00290D09"/>
    <w:rsid w:val="002D06D7"/>
    <w:rsid w:val="002F6E06"/>
    <w:rsid w:val="00350C11"/>
    <w:rsid w:val="00353DE0"/>
    <w:rsid w:val="0039109E"/>
    <w:rsid w:val="003A480F"/>
    <w:rsid w:val="003C7D09"/>
    <w:rsid w:val="003F1FB7"/>
    <w:rsid w:val="00480D0A"/>
    <w:rsid w:val="004B7FB0"/>
    <w:rsid w:val="005E03B3"/>
    <w:rsid w:val="006305B5"/>
    <w:rsid w:val="00696F06"/>
    <w:rsid w:val="006A0E89"/>
    <w:rsid w:val="006A3B53"/>
    <w:rsid w:val="006F51F3"/>
    <w:rsid w:val="006F7414"/>
    <w:rsid w:val="00714122"/>
    <w:rsid w:val="00765C50"/>
    <w:rsid w:val="007D4F2A"/>
    <w:rsid w:val="00885277"/>
    <w:rsid w:val="008A4B0A"/>
    <w:rsid w:val="008B185A"/>
    <w:rsid w:val="008E1C41"/>
    <w:rsid w:val="0099670E"/>
    <w:rsid w:val="009C3571"/>
    <w:rsid w:val="009E4A8E"/>
    <w:rsid w:val="00A078D6"/>
    <w:rsid w:val="00AE6201"/>
    <w:rsid w:val="00B10019"/>
    <w:rsid w:val="00B42024"/>
    <w:rsid w:val="00B722B7"/>
    <w:rsid w:val="00B73304"/>
    <w:rsid w:val="00B928D3"/>
    <w:rsid w:val="00B96C4D"/>
    <w:rsid w:val="00C623D5"/>
    <w:rsid w:val="00D03C0C"/>
    <w:rsid w:val="00D32211"/>
    <w:rsid w:val="00D46A48"/>
    <w:rsid w:val="00D85DF1"/>
    <w:rsid w:val="00D918BE"/>
    <w:rsid w:val="00DC18E0"/>
    <w:rsid w:val="00DD4426"/>
    <w:rsid w:val="00F01F96"/>
    <w:rsid w:val="00F3525F"/>
    <w:rsid w:val="00F7484B"/>
    <w:rsid w:val="00F77ACA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7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FE7DB-98CA-4613-8403-6B6B9858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2022-01-11T10:28:00Z</dcterms:created>
  <dcterms:modified xsi:type="dcterms:W3CDTF">2022-01-11T10:28:00Z</dcterms:modified>
</cp:coreProperties>
</file>